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6DE6A" w14:textId="4B72F665" w:rsidR="00502C15" w:rsidRDefault="00A23F6B" w:rsidP="00502C15">
      <w:pPr>
        <w:spacing w:line="360" w:lineRule="auto"/>
        <w:jc w:val="both"/>
        <w:rPr>
          <w:rFonts w:cs="Arial"/>
          <w:b/>
          <w:u w:val="single"/>
          <w:lang w:val="pl-PL"/>
        </w:rPr>
      </w:pPr>
      <w:bookmarkStart w:id="0" w:name="_GoBack"/>
      <w:bookmarkEnd w:id="0"/>
      <w:r w:rsidRPr="00BD2925">
        <w:rPr>
          <w:rFonts w:cs="Arial"/>
          <w:b/>
          <w:u w:val="single"/>
          <w:lang w:val="pl-PL"/>
        </w:rPr>
        <w:t>Zał. 2</w:t>
      </w:r>
      <w:r w:rsidR="00502C15" w:rsidRPr="00BD2925">
        <w:rPr>
          <w:rFonts w:cs="Arial"/>
          <w:b/>
          <w:u w:val="single"/>
          <w:lang w:val="pl-PL"/>
        </w:rPr>
        <w:t xml:space="preserve"> </w:t>
      </w:r>
      <w:r w:rsidR="00BD2925" w:rsidRPr="00CD2520">
        <w:rPr>
          <w:rFonts w:cs="Arial"/>
          <w:b/>
          <w:u w:val="single"/>
          <w:lang w:val="pl-PL"/>
        </w:rPr>
        <w:t>Oświadczenie o p</w:t>
      </w:r>
      <w:r w:rsidR="00502C15" w:rsidRPr="00CD2520">
        <w:rPr>
          <w:rFonts w:cs="Arial"/>
          <w:b/>
          <w:u w:val="single"/>
          <w:lang w:val="pl-PL"/>
        </w:rPr>
        <w:t>odlegani</w:t>
      </w:r>
      <w:r w:rsidR="00BD2925" w:rsidRPr="00CD2520">
        <w:rPr>
          <w:rFonts w:cs="Arial"/>
          <w:b/>
          <w:u w:val="single"/>
          <w:lang w:val="pl-PL"/>
        </w:rPr>
        <w:t>u</w:t>
      </w:r>
      <w:r w:rsidR="00502C15" w:rsidRPr="00CD2520">
        <w:rPr>
          <w:rFonts w:cs="Arial"/>
          <w:b/>
          <w:u w:val="single"/>
          <w:lang w:val="pl-PL"/>
        </w:rPr>
        <w:t xml:space="preserve"> prawu pomocy publicznej</w:t>
      </w:r>
      <w:r w:rsidR="00BD2925" w:rsidRPr="00CD2520">
        <w:rPr>
          <w:rFonts w:cs="Arial"/>
          <w:b/>
          <w:u w:val="single"/>
          <w:lang w:val="pl-PL"/>
        </w:rPr>
        <w:t>.</w:t>
      </w:r>
    </w:p>
    <w:p w14:paraId="1DBE75CC" w14:textId="6210C92D" w:rsidR="00CC6D69" w:rsidRPr="007721B6" w:rsidRDefault="00E464EF" w:rsidP="00E464EF">
      <w:pPr>
        <w:jc w:val="both"/>
        <w:rPr>
          <w:rFonts w:cs="Arial"/>
          <w:bCs/>
          <w:sz w:val="20"/>
          <w:szCs w:val="20"/>
          <w:lang w:val="pl-PL"/>
        </w:rPr>
      </w:pPr>
      <w:r w:rsidRPr="007721B6">
        <w:rPr>
          <w:rFonts w:cs="Arial"/>
          <w:bCs/>
          <w:sz w:val="20"/>
          <w:szCs w:val="20"/>
          <w:lang w:val="pl-PL"/>
        </w:rPr>
        <w:t xml:space="preserve">Oświadczenie to składa beneficjent małego projektu. Beneficjent </w:t>
      </w:r>
      <w:r w:rsidR="00D672D9" w:rsidRPr="007721B6">
        <w:rPr>
          <w:rFonts w:cs="Arial"/>
          <w:bCs/>
          <w:sz w:val="20"/>
          <w:szCs w:val="20"/>
          <w:lang w:val="pl-PL"/>
        </w:rPr>
        <w:t>odpowiada</w:t>
      </w:r>
      <w:r w:rsidRPr="007721B6">
        <w:rPr>
          <w:rFonts w:cs="Arial"/>
          <w:bCs/>
          <w:sz w:val="20"/>
          <w:szCs w:val="20"/>
          <w:lang w:val="pl-PL"/>
        </w:rPr>
        <w:t xml:space="preserve"> na poniższe pytania w celu ustalenia, czy projekt</w:t>
      </w:r>
      <w:r w:rsidR="008B373E" w:rsidRPr="007721B6">
        <w:rPr>
          <w:rFonts w:cs="Arial"/>
          <w:bCs/>
          <w:sz w:val="20"/>
          <w:szCs w:val="20"/>
          <w:lang w:val="pl-PL"/>
        </w:rPr>
        <w:t xml:space="preserve"> </w:t>
      </w:r>
      <w:r w:rsidRPr="007721B6">
        <w:rPr>
          <w:rFonts w:cs="Arial"/>
          <w:bCs/>
          <w:sz w:val="20"/>
          <w:szCs w:val="20"/>
          <w:lang w:val="pl-PL"/>
        </w:rPr>
        <w:t xml:space="preserve">nie przyznaje pomocy </w:t>
      </w:r>
      <w:r w:rsidR="00D672D9" w:rsidRPr="007721B6">
        <w:rPr>
          <w:rFonts w:cs="Arial"/>
          <w:bCs/>
          <w:sz w:val="20"/>
          <w:szCs w:val="20"/>
          <w:lang w:val="pl-PL"/>
        </w:rPr>
        <w:t>podmiotom</w:t>
      </w:r>
      <w:r w:rsidRPr="007721B6">
        <w:rPr>
          <w:rFonts w:cs="Arial"/>
          <w:bCs/>
          <w:sz w:val="20"/>
          <w:szCs w:val="20"/>
          <w:lang w:val="pl-PL"/>
        </w:rPr>
        <w:t xml:space="preserve"> trzecim w rozumieniu art. 107 ust. 1 TFUE.  Jest to możliwe na przykład wtedy, gdy projekt oferuje doradztwo, szkolenia lub zniżki na usługi dla przedsiębiorstw (n</w:t>
      </w:r>
      <w:r w:rsidR="00420648" w:rsidRPr="007721B6">
        <w:rPr>
          <w:rFonts w:cs="Arial"/>
          <w:bCs/>
          <w:sz w:val="20"/>
          <w:szCs w:val="20"/>
          <w:lang w:val="pl-PL"/>
        </w:rPr>
        <w:t>iezależnie od ich formy prawnej</w:t>
      </w:r>
      <w:r w:rsidRPr="007721B6">
        <w:rPr>
          <w:rFonts w:cs="Arial"/>
          <w:bCs/>
          <w:sz w:val="20"/>
          <w:szCs w:val="20"/>
          <w:lang w:val="pl-PL"/>
        </w:rPr>
        <w:t xml:space="preserve">) spoza partnerstwa w ramach projektu. </w:t>
      </w:r>
      <w:r w:rsidR="007721B6" w:rsidRPr="007721B6">
        <w:rPr>
          <w:rFonts w:cs="Arial"/>
          <w:bCs/>
          <w:sz w:val="20"/>
          <w:szCs w:val="20"/>
          <w:lang w:val="pl-PL"/>
        </w:rPr>
        <w:t>Jest to również możliwe w przypadku jakiegokolwiek wsparcia w rozwoju produktów lub usług.</w:t>
      </w:r>
    </w:p>
    <w:p w14:paraId="52628C61" w14:textId="77777777" w:rsidR="00E464EF" w:rsidRPr="00E464EF" w:rsidRDefault="00E464EF" w:rsidP="00E464EF">
      <w:pPr>
        <w:jc w:val="both"/>
        <w:rPr>
          <w:rFonts w:cs="Arial"/>
          <w:bCs/>
          <w:sz w:val="20"/>
          <w:szCs w:val="20"/>
          <w:lang w:val="pl-PL"/>
        </w:rPr>
      </w:pPr>
    </w:p>
    <w:tbl>
      <w:tblPr>
        <w:tblStyle w:val="Tabela-Siatka"/>
        <w:tblW w:w="0" w:type="auto"/>
        <w:tblLook w:val="04A0" w:firstRow="1" w:lastRow="0" w:firstColumn="1" w:lastColumn="0" w:noHBand="0" w:noVBand="1"/>
      </w:tblPr>
      <w:tblGrid>
        <w:gridCol w:w="2263"/>
        <w:gridCol w:w="6799"/>
      </w:tblGrid>
      <w:tr w:rsidR="00FC695A" w:rsidRPr="00BD2925" w14:paraId="76CAC1A1" w14:textId="77777777" w:rsidTr="00FC695A">
        <w:tc>
          <w:tcPr>
            <w:tcW w:w="2263" w:type="dxa"/>
          </w:tcPr>
          <w:p w14:paraId="0C333163" w14:textId="48D49587" w:rsidR="00FC695A" w:rsidRPr="00CD2520" w:rsidRDefault="00FC695A" w:rsidP="00502C15">
            <w:pPr>
              <w:spacing w:line="360" w:lineRule="auto"/>
              <w:jc w:val="both"/>
              <w:rPr>
                <w:rFonts w:cs="Arial"/>
                <w:b/>
                <w:lang w:val="pl-PL"/>
              </w:rPr>
            </w:pPr>
            <w:r w:rsidRPr="00CD2520">
              <w:rPr>
                <w:rFonts w:cs="Arial"/>
                <w:b/>
                <w:lang w:val="pl-PL"/>
              </w:rPr>
              <w:t>Wnioskodawca</w:t>
            </w:r>
          </w:p>
        </w:tc>
        <w:tc>
          <w:tcPr>
            <w:tcW w:w="6799" w:type="dxa"/>
          </w:tcPr>
          <w:p w14:paraId="22FA48E2" w14:textId="77777777" w:rsidR="00FC695A" w:rsidRPr="00BD2925" w:rsidRDefault="00FC695A" w:rsidP="00502C15">
            <w:pPr>
              <w:spacing w:line="360" w:lineRule="auto"/>
              <w:jc w:val="both"/>
              <w:rPr>
                <w:rFonts w:cs="Arial"/>
                <w:b/>
                <w:color w:val="FF0000"/>
                <w:u w:val="single"/>
                <w:lang w:val="pl-PL"/>
              </w:rPr>
            </w:pPr>
          </w:p>
        </w:tc>
      </w:tr>
      <w:tr w:rsidR="00FC695A" w:rsidRPr="00BD2925" w14:paraId="10A7993A" w14:textId="77777777" w:rsidTr="00FC695A">
        <w:tc>
          <w:tcPr>
            <w:tcW w:w="2263" w:type="dxa"/>
          </w:tcPr>
          <w:p w14:paraId="5B733689" w14:textId="1B73F90E" w:rsidR="00FC695A" w:rsidRPr="00CD2520" w:rsidRDefault="00FC695A" w:rsidP="00502C15">
            <w:pPr>
              <w:spacing w:line="360" w:lineRule="auto"/>
              <w:jc w:val="both"/>
              <w:rPr>
                <w:rFonts w:cs="Arial"/>
                <w:b/>
                <w:lang w:val="pl-PL"/>
              </w:rPr>
            </w:pPr>
            <w:r w:rsidRPr="00CD2520">
              <w:rPr>
                <w:rFonts w:cs="Arial"/>
                <w:b/>
                <w:lang w:val="pl-PL"/>
              </w:rPr>
              <w:t>Tytuł projektu</w:t>
            </w:r>
          </w:p>
        </w:tc>
        <w:tc>
          <w:tcPr>
            <w:tcW w:w="6799" w:type="dxa"/>
          </w:tcPr>
          <w:p w14:paraId="6DFFFD5C" w14:textId="77777777" w:rsidR="00FC695A" w:rsidRPr="00BD2925" w:rsidRDefault="00FC695A" w:rsidP="00502C15">
            <w:pPr>
              <w:spacing w:line="360" w:lineRule="auto"/>
              <w:jc w:val="both"/>
              <w:rPr>
                <w:rFonts w:cs="Arial"/>
                <w:b/>
                <w:color w:val="FF0000"/>
                <w:u w:val="single"/>
                <w:lang w:val="pl-PL"/>
              </w:rPr>
            </w:pPr>
          </w:p>
        </w:tc>
      </w:tr>
    </w:tbl>
    <w:p w14:paraId="505E1CD8" w14:textId="77777777" w:rsidR="00FC695A" w:rsidRPr="00BD2925" w:rsidRDefault="00FC695A" w:rsidP="00502C15">
      <w:pPr>
        <w:spacing w:line="360" w:lineRule="auto"/>
        <w:jc w:val="both"/>
        <w:rPr>
          <w:rFonts w:cs="Arial"/>
          <w:b/>
          <w:color w:val="FF0000"/>
          <w:u w:val="single"/>
          <w:lang w:val="pl-PL"/>
        </w:rPr>
      </w:pPr>
    </w:p>
    <w:p w14:paraId="56691EC5" w14:textId="22CD7832" w:rsidR="007D426B" w:rsidRPr="00BD2925" w:rsidRDefault="007D426B" w:rsidP="00502C15">
      <w:pPr>
        <w:spacing w:line="360" w:lineRule="auto"/>
        <w:jc w:val="both"/>
        <w:rPr>
          <w:rFonts w:cs="Arial"/>
          <w:b/>
          <w:sz w:val="20"/>
          <w:szCs w:val="20"/>
          <w:lang w:val="pl-PL"/>
        </w:rPr>
      </w:pPr>
      <w:r w:rsidRPr="00BD2925">
        <w:rPr>
          <w:rFonts w:cs="Arial"/>
          <w:b/>
          <w:sz w:val="20"/>
          <w:szCs w:val="20"/>
          <w:lang w:val="pl-PL"/>
        </w:rPr>
        <w:t>Przy udzielaniu odpowiedzi należy kierować się zapisami części 8 Podręcznika Programu.</w:t>
      </w:r>
    </w:p>
    <w:p w14:paraId="5A5F711B" w14:textId="77777777" w:rsidR="00502C15" w:rsidRPr="00BD2925" w:rsidRDefault="00502C15" w:rsidP="00502C15">
      <w:pPr>
        <w:pStyle w:val="Default"/>
        <w:spacing w:after="35"/>
        <w:rPr>
          <w:rFonts w:ascii="Arial" w:hAnsi="Arial" w:cs="Arial"/>
          <w:sz w:val="19"/>
          <w:szCs w:val="19"/>
          <w:lang w:val="pl-PL"/>
        </w:rPr>
      </w:pPr>
    </w:p>
    <w:p w14:paraId="56CD8BCA" w14:textId="503967E3" w:rsidR="00502C15" w:rsidRPr="00BD2925" w:rsidRDefault="00502C15" w:rsidP="00502C15">
      <w:pPr>
        <w:spacing w:line="360" w:lineRule="auto"/>
        <w:jc w:val="both"/>
        <w:rPr>
          <w:rFonts w:cs="Arial"/>
          <w:color w:val="000000"/>
          <w:sz w:val="19"/>
          <w:szCs w:val="19"/>
          <w:lang w:val="pl-PL"/>
        </w:rPr>
      </w:pPr>
      <w:r w:rsidRPr="00BD2925">
        <w:rPr>
          <w:rFonts w:cs="Arial"/>
          <w:color w:val="000000"/>
          <w:sz w:val="19"/>
          <w:szCs w:val="19"/>
          <w:lang w:val="pl-PL"/>
        </w:rPr>
        <w:t>W częś</w:t>
      </w:r>
      <w:r w:rsidR="00D6056F" w:rsidRPr="00BD2925">
        <w:rPr>
          <w:rFonts w:cs="Arial"/>
          <w:color w:val="000000"/>
          <w:sz w:val="19"/>
          <w:szCs w:val="19"/>
          <w:lang w:val="pl-PL"/>
        </w:rPr>
        <w:t>ci</w:t>
      </w:r>
      <w:r w:rsidRPr="00BD2925">
        <w:rPr>
          <w:rFonts w:cs="Arial"/>
          <w:color w:val="000000"/>
          <w:sz w:val="19"/>
          <w:szCs w:val="19"/>
          <w:lang w:val="pl-PL"/>
        </w:rPr>
        <w:t xml:space="preserve"> A sprawdzane są przesłanki art. 107 TFUE</w:t>
      </w:r>
      <w:r w:rsidRPr="00BD2925">
        <w:rPr>
          <w:rFonts w:cs="Arial"/>
          <w:color w:val="000000"/>
          <w:sz w:val="19"/>
          <w:szCs w:val="19"/>
          <w:vertAlign w:val="superscript"/>
        </w:rPr>
        <w:footnoteReference w:id="1"/>
      </w:r>
      <w:r w:rsidRPr="00BD2925">
        <w:rPr>
          <w:rFonts w:cs="Arial"/>
          <w:color w:val="000000"/>
          <w:sz w:val="19"/>
          <w:szCs w:val="19"/>
          <w:vertAlign w:val="superscript"/>
          <w:lang w:val="pl-PL"/>
        </w:rPr>
        <w:t>,</w:t>
      </w:r>
      <w:r w:rsidRPr="00BD2925">
        <w:rPr>
          <w:rFonts w:cs="Arial"/>
          <w:color w:val="000000"/>
          <w:sz w:val="19"/>
          <w:szCs w:val="19"/>
          <w:lang w:val="pl-PL"/>
        </w:rPr>
        <w:t xml:space="preserve"> który stanowi:</w:t>
      </w:r>
    </w:p>
    <w:p w14:paraId="26789AA1" w14:textId="77777777" w:rsidR="00502C15" w:rsidRPr="00BD2925" w:rsidRDefault="00502C15" w:rsidP="00502C15">
      <w:pPr>
        <w:pStyle w:val="Default"/>
        <w:spacing w:after="35"/>
        <w:rPr>
          <w:rFonts w:ascii="Arial" w:hAnsi="Arial" w:cs="Arial"/>
          <w:i/>
          <w:sz w:val="19"/>
          <w:szCs w:val="19"/>
          <w:lang w:val="pl-PL"/>
        </w:rPr>
      </w:pPr>
      <w:r w:rsidRPr="00BD2925">
        <w:rPr>
          <w:rFonts w:ascii="Arial" w:hAnsi="Arial" w:cs="Arial"/>
          <w:i/>
          <w:sz w:val="19"/>
          <w:szCs w:val="19"/>
          <w:lang w:val="pl-PL"/>
        </w:rPr>
        <w:t>„(1)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7BD0C895" w14:textId="77777777" w:rsidR="00502C15" w:rsidRPr="00BD2925" w:rsidRDefault="00502C15" w:rsidP="00502C15">
      <w:pPr>
        <w:spacing w:line="360" w:lineRule="auto"/>
        <w:jc w:val="both"/>
        <w:rPr>
          <w:rFonts w:cs="Arial"/>
          <w:color w:val="000000"/>
          <w:sz w:val="19"/>
          <w:szCs w:val="19"/>
          <w:lang w:val="pl-PL"/>
        </w:rPr>
      </w:pPr>
    </w:p>
    <w:p w14:paraId="13AC01E1" w14:textId="4AF58AA4" w:rsidR="00502C15" w:rsidRPr="00C86B49" w:rsidRDefault="00A23F6B" w:rsidP="00502C15">
      <w:pPr>
        <w:pStyle w:val="Bezodstpw"/>
        <w:rPr>
          <w:rFonts w:cs="Arial"/>
          <w:b/>
          <w:bCs/>
          <w:color w:val="000000"/>
          <w:sz w:val="19"/>
          <w:szCs w:val="19"/>
          <w:u w:val="single"/>
          <w:lang w:val="pl-PL"/>
        </w:rPr>
      </w:pPr>
      <w:r w:rsidRPr="00C86B49">
        <w:rPr>
          <w:rFonts w:cs="Arial"/>
          <w:b/>
          <w:bCs/>
          <w:color w:val="000000"/>
          <w:sz w:val="19"/>
          <w:szCs w:val="19"/>
          <w:u w:val="single"/>
          <w:lang w:val="pl-PL"/>
        </w:rPr>
        <w:t>Pomoc publiczna występuje tylko wtedy, gdy spełnione są łącznie następujące kryteria:</w:t>
      </w:r>
    </w:p>
    <w:p w14:paraId="48D0D10E" w14:textId="77777777" w:rsidR="00502C15" w:rsidRPr="00BD2925" w:rsidRDefault="00502C15" w:rsidP="00502C15">
      <w:pPr>
        <w:pStyle w:val="Default"/>
        <w:spacing w:after="35"/>
        <w:ind w:left="720"/>
        <w:rPr>
          <w:rFonts w:ascii="Arial" w:hAnsi="Arial" w:cs="Arial"/>
          <w:i/>
          <w:sz w:val="19"/>
          <w:szCs w:val="19"/>
          <w:lang w:val="pl-PL"/>
        </w:rPr>
      </w:pPr>
    </w:p>
    <w:p w14:paraId="0DF0E865"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Podmiotem wsparcia jest przedsiębiorstwo („niektórym przedsiębiorstwom lub produkcji niektórych towarów”)</w:t>
      </w:r>
    </w:p>
    <w:p w14:paraId="6E102A27"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udzielane jest przez państwo lub ze źródeł państwowych,</w:t>
      </w:r>
    </w:p>
    <w:p w14:paraId="7D2E1499"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ma charakter sprzyjający („sprzyjanie”) </w:t>
      </w:r>
    </w:p>
    <w:p w14:paraId="6BD92A4A"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ma charakter selektywny („określone przedsiębiorstwa albo produkcję określonych tow</w:t>
      </w:r>
      <w:r w:rsidRPr="00BD2925">
        <w:rPr>
          <w:rFonts w:ascii="Arial" w:hAnsi="Arial" w:cs="Arial"/>
          <w:i/>
          <w:sz w:val="19"/>
          <w:szCs w:val="19"/>
          <w:lang w:val="pl-PL"/>
        </w:rPr>
        <w:t>a</w:t>
      </w:r>
      <w:r w:rsidRPr="00BD2925">
        <w:rPr>
          <w:rFonts w:ascii="Arial" w:hAnsi="Arial" w:cs="Arial"/>
          <w:i/>
          <w:sz w:val="19"/>
          <w:szCs w:val="19"/>
          <w:lang w:val="pl-PL"/>
        </w:rPr>
        <w:t>rów”),</w:t>
      </w:r>
    </w:p>
    <w:p w14:paraId="05384AB4"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zakłóca konkurencję lub grozi jej zakłóceniem </w:t>
      </w:r>
    </w:p>
    <w:p w14:paraId="5B968B91"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oraz wpływa na wymianę handlową między państwami członkowskimi Unii Europejskiej.</w:t>
      </w:r>
    </w:p>
    <w:p w14:paraId="39753203" w14:textId="77777777" w:rsidR="00502C15" w:rsidRPr="00BD2925" w:rsidRDefault="00502C15" w:rsidP="00502C15">
      <w:pPr>
        <w:spacing w:line="360" w:lineRule="auto"/>
        <w:jc w:val="both"/>
        <w:rPr>
          <w:rFonts w:cs="Arial"/>
          <w:lang w:val="pl-PL"/>
        </w:rPr>
      </w:pPr>
    </w:p>
    <w:p w14:paraId="600C6BFD" w14:textId="388DF268" w:rsidR="00502C15" w:rsidRDefault="00502C15" w:rsidP="00502C15">
      <w:pPr>
        <w:pStyle w:val="Default"/>
        <w:spacing w:after="35"/>
        <w:rPr>
          <w:rFonts w:ascii="Arial" w:hAnsi="Arial" w:cs="Arial"/>
          <w:i/>
          <w:sz w:val="19"/>
          <w:szCs w:val="19"/>
          <w:lang w:val="pl-PL"/>
        </w:rPr>
      </w:pPr>
      <w:r w:rsidRPr="00BD2925">
        <w:rPr>
          <w:rFonts w:ascii="Arial" w:hAnsi="Arial" w:cs="Arial"/>
          <w:sz w:val="19"/>
          <w:szCs w:val="19"/>
          <w:lang w:val="pl-PL"/>
        </w:rPr>
        <w:t xml:space="preserve">Należy przy tym wyjść z założenia, </w:t>
      </w:r>
      <w:r w:rsidRPr="007721B6">
        <w:rPr>
          <w:rFonts w:ascii="Arial" w:hAnsi="Arial" w:cs="Arial"/>
          <w:color w:val="auto"/>
          <w:sz w:val="19"/>
          <w:szCs w:val="19"/>
          <w:lang w:val="pl-PL"/>
        </w:rPr>
        <w:t>że przesłank</w:t>
      </w:r>
      <w:r w:rsidR="005C7753" w:rsidRPr="007721B6">
        <w:rPr>
          <w:rFonts w:ascii="Arial" w:hAnsi="Arial" w:cs="Arial"/>
          <w:color w:val="auto"/>
          <w:sz w:val="19"/>
          <w:szCs w:val="19"/>
          <w:lang w:val="pl-PL"/>
        </w:rPr>
        <w:t>a</w:t>
      </w:r>
      <w:r w:rsidRPr="007721B6">
        <w:rPr>
          <w:rFonts w:ascii="Arial" w:hAnsi="Arial" w:cs="Arial"/>
          <w:color w:val="auto"/>
          <w:sz w:val="19"/>
          <w:szCs w:val="19"/>
          <w:lang w:val="pl-PL"/>
        </w:rPr>
        <w:t xml:space="preserve"> nr 2 (</w:t>
      </w:r>
      <w:r w:rsidRPr="007721B6">
        <w:rPr>
          <w:rFonts w:ascii="Arial" w:hAnsi="Arial" w:cs="Arial"/>
          <w:i/>
          <w:color w:val="auto"/>
          <w:sz w:val="19"/>
          <w:szCs w:val="19"/>
          <w:lang w:val="pl-PL"/>
        </w:rPr>
        <w:t>Wsparcie udzielane jest przez państwo lub ze źródeł państwowych</w:t>
      </w:r>
      <w:r w:rsidRPr="007721B6">
        <w:rPr>
          <w:rFonts w:ascii="Arial" w:hAnsi="Arial" w:cs="Arial"/>
          <w:color w:val="auto"/>
          <w:sz w:val="19"/>
          <w:szCs w:val="19"/>
          <w:lang w:val="pl-PL"/>
        </w:rPr>
        <w:t xml:space="preserve">), </w:t>
      </w:r>
      <w:r w:rsidR="005C7753" w:rsidRPr="007721B6">
        <w:rPr>
          <w:rFonts w:ascii="Arial" w:hAnsi="Arial" w:cs="Arial"/>
          <w:color w:val="auto"/>
          <w:sz w:val="19"/>
          <w:szCs w:val="19"/>
          <w:lang w:val="pl-PL"/>
        </w:rPr>
        <w:t>jest w</w:t>
      </w:r>
      <w:r w:rsidRPr="007721B6">
        <w:rPr>
          <w:rFonts w:ascii="Arial" w:hAnsi="Arial" w:cs="Arial"/>
          <w:color w:val="auto"/>
          <w:sz w:val="19"/>
          <w:szCs w:val="19"/>
          <w:lang w:val="pl-PL"/>
        </w:rPr>
        <w:t xml:space="preserve"> przypadku projektów podlegających niniejszej kontroli zawsze spełnion</w:t>
      </w:r>
      <w:r w:rsidR="005C7753" w:rsidRPr="007721B6">
        <w:rPr>
          <w:rFonts w:ascii="Arial" w:hAnsi="Arial" w:cs="Arial"/>
          <w:color w:val="auto"/>
          <w:sz w:val="19"/>
          <w:szCs w:val="19"/>
          <w:lang w:val="pl-PL"/>
        </w:rPr>
        <w:t>a</w:t>
      </w:r>
      <w:r w:rsidRPr="007721B6">
        <w:rPr>
          <w:rFonts w:ascii="Arial" w:hAnsi="Arial" w:cs="Arial"/>
          <w:color w:val="auto"/>
          <w:sz w:val="19"/>
          <w:szCs w:val="19"/>
          <w:lang w:val="pl-PL"/>
        </w:rPr>
        <w:t xml:space="preserve">. </w:t>
      </w:r>
      <w:r w:rsidRPr="00BD2925">
        <w:rPr>
          <w:rFonts w:ascii="Arial" w:hAnsi="Arial" w:cs="Arial"/>
          <w:sz w:val="19"/>
          <w:szCs w:val="19"/>
          <w:lang w:val="pl-PL"/>
        </w:rPr>
        <w:t>Dla interpr</w:t>
      </w:r>
      <w:r w:rsidRPr="00BD2925">
        <w:rPr>
          <w:rFonts w:ascii="Arial" w:hAnsi="Arial" w:cs="Arial"/>
          <w:sz w:val="19"/>
          <w:szCs w:val="19"/>
          <w:lang w:val="pl-PL"/>
        </w:rPr>
        <w:t>e</w:t>
      </w:r>
      <w:r w:rsidRPr="00BD2925">
        <w:rPr>
          <w:rFonts w:ascii="Arial" w:hAnsi="Arial" w:cs="Arial"/>
          <w:sz w:val="19"/>
          <w:szCs w:val="19"/>
          <w:lang w:val="pl-PL"/>
        </w:rPr>
        <w:t>tacji przesłanek pomocy publicznej wskazuje się w szczególności na</w:t>
      </w:r>
      <w:r w:rsidRPr="00BD2925">
        <w:rPr>
          <w:rFonts w:ascii="Arial" w:hAnsi="Arial" w:cs="Arial"/>
          <w:lang w:val="pl-PL"/>
        </w:rPr>
        <w:t xml:space="preserve"> </w:t>
      </w:r>
      <w:r w:rsidRPr="00BD2925">
        <w:rPr>
          <w:rFonts w:ascii="Arial" w:hAnsi="Arial" w:cs="Arial"/>
          <w:sz w:val="19"/>
          <w:szCs w:val="19"/>
          <w:lang w:val="pl-PL"/>
        </w:rPr>
        <w:t>„Zawiadomienie Komisji w sprawie pojęcia pomocy państwa w rozumieniu art. 107 ust. 1 Traktatu o funkcjonowaniu Unii Europejskiej” (2016/C 262/01) z 19 maja 2016 r (dalej zwane „</w:t>
      </w:r>
      <w:r w:rsidRPr="00BD2925">
        <w:rPr>
          <w:rFonts w:ascii="Arial" w:hAnsi="Arial" w:cs="Arial"/>
          <w:i/>
          <w:sz w:val="19"/>
          <w:szCs w:val="19"/>
          <w:lang w:val="pl-PL"/>
        </w:rPr>
        <w:t>Zawiadomieniem Komisji w sprawie pomocy publicznej”)</w:t>
      </w:r>
      <w:r w:rsidRPr="00BD2925">
        <w:rPr>
          <w:rFonts w:ascii="Arial" w:hAnsi="Arial" w:cs="Arial"/>
          <w:sz w:val="19"/>
          <w:szCs w:val="19"/>
          <w:lang w:val="pl-PL"/>
        </w:rPr>
        <w:t>. W odni</w:t>
      </w:r>
      <w:r w:rsidRPr="00BD2925">
        <w:rPr>
          <w:rFonts w:ascii="Arial" w:hAnsi="Arial" w:cs="Arial"/>
          <w:sz w:val="19"/>
          <w:szCs w:val="19"/>
          <w:lang w:val="pl-PL"/>
        </w:rPr>
        <w:t>e</w:t>
      </w:r>
      <w:r w:rsidRPr="00BD2925">
        <w:rPr>
          <w:rFonts w:ascii="Arial" w:hAnsi="Arial" w:cs="Arial"/>
          <w:sz w:val="19"/>
          <w:szCs w:val="19"/>
          <w:lang w:val="pl-PL"/>
        </w:rPr>
        <w:t>sieniu do małych projektów w ramach Funduszu Małych Projektów istotne mogą być zapisy w punkcie 2.6</w:t>
      </w:r>
      <w:r w:rsidRPr="00BD2925">
        <w:rPr>
          <w:rFonts w:ascii="Arial" w:hAnsi="Arial" w:cs="Arial"/>
          <w:i/>
          <w:sz w:val="19"/>
          <w:szCs w:val="19"/>
          <w:lang w:val="pl-PL"/>
        </w:rPr>
        <w:t xml:space="preserve"> („Kultura i zachowanie dziedzictwa kulturowego, w tym ochrona przyrody”)</w:t>
      </w:r>
      <w:r w:rsidRPr="00BD2925">
        <w:rPr>
          <w:rFonts w:ascii="Arial" w:hAnsi="Arial" w:cs="Arial"/>
          <w:b/>
          <w:bCs/>
          <w:sz w:val="19"/>
          <w:szCs w:val="19"/>
          <w:lang w:val="pl-PL"/>
        </w:rPr>
        <w:t xml:space="preserve"> </w:t>
      </w:r>
      <w:r w:rsidRPr="00BD2925">
        <w:rPr>
          <w:rFonts w:ascii="Arial" w:hAnsi="Arial" w:cs="Arial"/>
          <w:i/>
          <w:sz w:val="19"/>
          <w:szCs w:val="19"/>
          <w:lang w:val="pl-PL"/>
        </w:rPr>
        <w:t xml:space="preserve"> „Zawiadomienia Komisji w sprawie pomocy publicznej”.</w:t>
      </w:r>
    </w:p>
    <w:p w14:paraId="1F0BE9A1" w14:textId="77777777" w:rsidR="007721B6" w:rsidRDefault="007721B6" w:rsidP="00502C15">
      <w:pPr>
        <w:pStyle w:val="Default"/>
        <w:spacing w:after="35"/>
        <w:rPr>
          <w:rFonts w:ascii="Arial" w:hAnsi="Arial" w:cs="Arial"/>
          <w:i/>
          <w:sz w:val="19"/>
          <w:szCs w:val="19"/>
          <w:lang w:val="pl-PL"/>
        </w:rPr>
      </w:pPr>
    </w:p>
    <w:p w14:paraId="73FB0E1A" w14:textId="77777777" w:rsidR="007721B6" w:rsidRDefault="007721B6" w:rsidP="00502C15">
      <w:pPr>
        <w:pStyle w:val="Default"/>
        <w:spacing w:after="35"/>
        <w:rPr>
          <w:rFonts w:ascii="Arial" w:hAnsi="Arial" w:cs="Arial"/>
          <w:i/>
          <w:sz w:val="19"/>
          <w:szCs w:val="19"/>
          <w:lang w:val="pl-PL"/>
        </w:rPr>
      </w:pPr>
    </w:p>
    <w:p w14:paraId="4DAF6191" w14:textId="77777777" w:rsidR="007721B6" w:rsidRDefault="007721B6" w:rsidP="00502C15">
      <w:pPr>
        <w:pStyle w:val="Default"/>
        <w:spacing w:after="35"/>
        <w:rPr>
          <w:rFonts w:ascii="Arial" w:hAnsi="Arial" w:cs="Arial"/>
          <w:i/>
          <w:sz w:val="19"/>
          <w:szCs w:val="19"/>
          <w:lang w:val="pl-PL"/>
        </w:rPr>
      </w:pPr>
    </w:p>
    <w:p w14:paraId="746B0A62" w14:textId="77777777" w:rsidR="007721B6" w:rsidRPr="00BD2925" w:rsidRDefault="007721B6" w:rsidP="00502C15">
      <w:pPr>
        <w:pStyle w:val="Default"/>
        <w:spacing w:after="35"/>
        <w:rPr>
          <w:rFonts w:ascii="Arial" w:hAnsi="Arial" w:cs="Arial"/>
          <w:i/>
          <w:sz w:val="19"/>
          <w:szCs w:val="19"/>
          <w:lang w:val="pl-PL"/>
        </w:rPr>
      </w:pPr>
    </w:p>
    <w:p w14:paraId="5797AD03" w14:textId="77777777" w:rsidR="00502C15" w:rsidRPr="00BD2925" w:rsidRDefault="00502C15" w:rsidP="00502C15">
      <w:pPr>
        <w:spacing w:line="360" w:lineRule="auto"/>
        <w:jc w:val="both"/>
        <w:rPr>
          <w:rFonts w:cs="Arial"/>
          <w:color w:val="000000"/>
          <w:sz w:val="19"/>
          <w:szCs w:val="19"/>
          <w:lang w:val="pl-PL"/>
        </w:rPr>
      </w:pPr>
    </w:p>
    <w:tbl>
      <w:tblPr>
        <w:tblStyle w:val="Tabela-Siatka"/>
        <w:tblW w:w="9062" w:type="dxa"/>
        <w:tblLook w:val="04A0" w:firstRow="1" w:lastRow="0" w:firstColumn="1" w:lastColumn="0" w:noHBand="0" w:noVBand="1"/>
      </w:tblPr>
      <w:tblGrid>
        <w:gridCol w:w="4531"/>
        <w:gridCol w:w="692"/>
        <w:gridCol w:w="633"/>
        <w:gridCol w:w="3183"/>
        <w:gridCol w:w="23"/>
      </w:tblGrid>
      <w:tr w:rsidR="00502C15" w:rsidRPr="00BD2925" w14:paraId="6057224D" w14:textId="77777777" w:rsidTr="008E1FA7">
        <w:trPr>
          <w:gridAfter w:val="1"/>
          <w:wAfter w:w="23" w:type="dxa"/>
        </w:trPr>
        <w:tc>
          <w:tcPr>
            <w:tcW w:w="4531" w:type="dxa"/>
            <w:shd w:val="clear" w:color="auto" w:fill="A6A6A6" w:themeFill="background1" w:themeFillShade="A6"/>
          </w:tcPr>
          <w:p w14:paraId="3FF9C0A5" w14:textId="77777777" w:rsidR="00502C15" w:rsidRPr="00BD2925" w:rsidRDefault="00502C15" w:rsidP="00650A5C">
            <w:pPr>
              <w:pStyle w:val="Default"/>
              <w:numPr>
                <w:ilvl w:val="0"/>
                <w:numId w:val="1"/>
              </w:numPr>
              <w:spacing w:after="35"/>
              <w:ind w:left="426"/>
              <w:rPr>
                <w:rFonts w:ascii="Arial" w:hAnsi="Arial" w:cs="Arial"/>
                <w:b/>
                <w:sz w:val="22"/>
                <w:szCs w:val="22"/>
                <w:lang w:val="pl-PL"/>
              </w:rPr>
            </w:pPr>
            <w:r w:rsidRPr="00BD2925">
              <w:rPr>
                <w:rFonts w:ascii="Arial" w:hAnsi="Arial" w:cs="Arial"/>
                <w:b/>
                <w:sz w:val="22"/>
                <w:szCs w:val="22"/>
                <w:lang w:val="pl-PL"/>
              </w:rPr>
              <w:t>Pytania dot. występowania przesł</w:t>
            </w:r>
            <w:r w:rsidRPr="00BD2925">
              <w:rPr>
                <w:rFonts w:ascii="Arial" w:hAnsi="Arial" w:cs="Arial"/>
                <w:b/>
                <w:sz w:val="22"/>
                <w:szCs w:val="22"/>
                <w:lang w:val="pl-PL"/>
              </w:rPr>
              <w:t>a</w:t>
            </w:r>
            <w:r w:rsidRPr="00BD2925">
              <w:rPr>
                <w:rFonts w:ascii="Arial" w:hAnsi="Arial" w:cs="Arial"/>
                <w:b/>
                <w:sz w:val="22"/>
                <w:szCs w:val="22"/>
                <w:lang w:val="pl-PL"/>
              </w:rPr>
              <w:t>nek z art. 107 TFUE</w:t>
            </w:r>
          </w:p>
        </w:tc>
        <w:tc>
          <w:tcPr>
            <w:tcW w:w="692" w:type="dxa"/>
            <w:tcBorders>
              <w:bottom w:val="single" w:sz="4" w:space="0" w:color="auto"/>
            </w:tcBorders>
            <w:shd w:val="clear" w:color="auto" w:fill="A6A6A6" w:themeFill="background1" w:themeFillShade="A6"/>
          </w:tcPr>
          <w:p w14:paraId="6B605547" w14:textId="77777777" w:rsidR="00502C15" w:rsidRPr="00BD2925" w:rsidRDefault="00502C15" w:rsidP="00650A5C">
            <w:pPr>
              <w:spacing w:line="360" w:lineRule="auto"/>
              <w:jc w:val="both"/>
              <w:rPr>
                <w:rFonts w:cs="Arial"/>
                <w:b/>
                <w:sz w:val="22"/>
                <w:szCs w:val="22"/>
              </w:rPr>
            </w:pPr>
            <w:r w:rsidRPr="00BD2925">
              <w:rPr>
                <w:rFonts w:cs="Arial"/>
                <w:b/>
                <w:sz w:val="22"/>
                <w:szCs w:val="22"/>
              </w:rPr>
              <w:t>Tak</w:t>
            </w:r>
          </w:p>
        </w:tc>
        <w:tc>
          <w:tcPr>
            <w:tcW w:w="633" w:type="dxa"/>
            <w:tcBorders>
              <w:bottom w:val="single" w:sz="4" w:space="0" w:color="auto"/>
            </w:tcBorders>
            <w:shd w:val="clear" w:color="auto" w:fill="A6A6A6" w:themeFill="background1" w:themeFillShade="A6"/>
          </w:tcPr>
          <w:p w14:paraId="69B46EBD" w14:textId="77777777" w:rsidR="00502C15" w:rsidRPr="00BD2925" w:rsidRDefault="00502C15" w:rsidP="00650A5C">
            <w:pPr>
              <w:spacing w:line="360" w:lineRule="auto"/>
              <w:jc w:val="both"/>
              <w:rPr>
                <w:rFonts w:cs="Arial"/>
                <w:b/>
                <w:sz w:val="22"/>
                <w:szCs w:val="22"/>
                <w:lang w:val="pl-PL"/>
              </w:rPr>
            </w:pPr>
            <w:r w:rsidRPr="00BD2925">
              <w:rPr>
                <w:rFonts w:cs="Arial"/>
                <w:b/>
                <w:sz w:val="22"/>
                <w:szCs w:val="22"/>
              </w:rPr>
              <w:t xml:space="preserve">Nie </w:t>
            </w:r>
          </w:p>
        </w:tc>
        <w:tc>
          <w:tcPr>
            <w:tcW w:w="3183" w:type="dxa"/>
            <w:tcBorders>
              <w:bottom w:val="single" w:sz="4" w:space="0" w:color="auto"/>
            </w:tcBorders>
            <w:shd w:val="clear" w:color="auto" w:fill="A6A6A6" w:themeFill="background1" w:themeFillShade="A6"/>
          </w:tcPr>
          <w:p w14:paraId="4A0942DE" w14:textId="77777777" w:rsidR="00502C15" w:rsidRPr="00BD2925" w:rsidRDefault="00502C15" w:rsidP="00650A5C">
            <w:pPr>
              <w:spacing w:line="360" w:lineRule="auto"/>
              <w:jc w:val="both"/>
              <w:rPr>
                <w:rFonts w:cs="Arial"/>
                <w:b/>
                <w:sz w:val="22"/>
                <w:szCs w:val="22"/>
              </w:rPr>
            </w:pPr>
            <w:r w:rsidRPr="00BD2925">
              <w:rPr>
                <w:rFonts w:cs="Arial"/>
                <w:b/>
                <w:sz w:val="22"/>
                <w:szCs w:val="22"/>
                <w:lang w:val="pl-PL"/>
              </w:rPr>
              <w:t>Uzasadnienie/uwagi</w:t>
            </w:r>
          </w:p>
        </w:tc>
      </w:tr>
      <w:tr w:rsidR="00502C15" w:rsidRPr="00D672D9" w14:paraId="6D1C217B" w14:textId="77777777" w:rsidTr="008E1FA7">
        <w:trPr>
          <w:gridAfter w:val="1"/>
          <w:wAfter w:w="23" w:type="dxa"/>
        </w:trPr>
        <w:tc>
          <w:tcPr>
            <w:tcW w:w="4531" w:type="dxa"/>
            <w:shd w:val="clear" w:color="auto" w:fill="DDD9C3" w:themeFill="background2" w:themeFillShade="E6"/>
          </w:tcPr>
          <w:p w14:paraId="09CBD425" w14:textId="7BBBE1F6" w:rsidR="00502C15" w:rsidRPr="00BD2925" w:rsidRDefault="00502C15" w:rsidP="00650A5C">
            <w:pPr>
              <w:pStyle w:val="Bezodstpw"/>
              <w:numPr>
                <w:ilvl w:val="0"/>
                <w:numId w:val="3"/>
              </w:numPr>
              <w:ind w:left="284" w:hanging="77"/>
              <w:rPr>
                <w:rFonts w:cs="Arial"/>
                <w:b/>
                <w:lang w:val="pl-PL"/>
              </w:rPr>
            </w:pPr>
            <w:r w:rsidRPr="00BD2925">
              <w:rPr>
                <w:rFonts w:cs="Arial"/>
                <w:b/>
                <w:lang w:val="pl-PL"/>
              </w:rPr>
              <w:t xml:space="preserve">Czy </w:t>
            </w:r>
            <w:r w:rsidR="00CD2520" w:rsidRPr="0012375C">
              <w:rPr>
                <w:rFonts w:cs="Arial"/>
                <w:b/>
                <w:lang w:val="pl-PL"/>
              </w:rPr>
              <w:t>podmiot trzeci</w:t>
            </w:r>
            <w:r w:rsidRPr="0012375C">
              <w:rPr>
                <w:rFonts w:cs="Arial"/>
                <w:b/>
                <w:lang w:val="pl-PL"/>
              </w:rPr>
              <w:t xml:space="preserve"> </w:t>
            </w:r>
            <w:r w:rsidRPr="00BD2925">
              <w:rPr>
                <w:rFonts w:cs="Arial"/>
                <w:b/>
                <w:lang w:val="pl-PL"/>
              </w:rPr>
              <w:t>działa w r</w:t>
            </w:r>
            <w:r w:rsidRPr="00BD2925">
              <w:rPr>
                <w:rFonts w:cs="Arial"/>
                <w:b/>
                <w:lang w:val="pl-PL"/>
              </w:rPr>
              <w:t>a</w:t>
            </w:r>
            <w:r w:rsidRPr="00BD2925">
              <w:rPr>
                <w:rFonts w:cs="Arial"/>
                <w:b/>
                <w:lang w:val="pl-PL"/>
              </w:rPr>
              <w:t>mach projektu jako przedsiębio</w:t>
            </w:r>
            <w:r w:rsidRPr="00BD2925">
              <w:rPr>
                <w:rFonts w:cs="Arial"/>
                <w:b/>
                <w:lang w:val="pl-PL"/>
              </w:rPr>
              <w:t>r</w:t>
            </w:r>
            <w:r w:rsidRPr="00BD2925">
              <w:rPr>
                <w:rFonts w:cs="Arial"/>
                <w:b/>
                <w:lang w:val="pl-PL"/>
              </w:rPr>
              <w:t>stwo w rozumieniu art. 107 ust. 1 TFUE?</w:t>
            </w:r>
          </w:p>
          <w:p w14:paraId="6B963FB1" w14:textId="77777777" w:rsidR="00502C15" w:rsidRPr="00BD2925" w:rsidRDefault="00502C15" w:rsidP="00650A5C">
            <w:pPr>
              <w:pStyle w:val="Bezodstpw"/>
              <w:rPr>
                <w:rFonts w:cs="Arial"/>
                <w:i/>
                <w:sz w:val="19"/>
                <w:szCs w:val="19"/>
                <w:lang w:val="pl-PL"/>
              </w:rPr>
            </w:pPr>
          </w:p>
          <w:p w14:paraId="3CB7CD2A" w14:textId="77777777" w:rsidR="00B518B1" w:rsidRPr="00BD2925" w:rsidRDefault="00B518B1" w:rsidP="00650A5C">
            <w:pPr>
              <w:pStyle w:val="Bezodstpw"/>
              <w:rPr>
                <w:rFonts w:cs="Arial"/>
                <w:i/>
                <w:sz w:val="19"/>
                <w:szCs w:val="19"/>
                <w:lang w:val="pl-PL"/>
              </w:rPr>
            </w:pPr>
          </w:p>
          <w:p w14:paraId="7246896A" w14:textId="71D898B2" w:rsidR="00502C15" w:rsidRPr="00BD2925" w:rsidRDefault="00502C15" w:rsidP="00650A5C">
            <w:pPr>
              <w:pStyle w:val="Bezodstpw"/>
              <w:rPr>
                <w:rFonts w:cs="Arial"/>
                <w:i/>
                <w:sz w:val="19"/>
                <w:szCs w:val="19"/>
                <w:lang w:val="pl-PL"/>
              </w:rPr>
            </w:pPr>
            <w:r w:rsidRPr="00BD2925">
              <w:rPr>
                <w:rFonts w:cs="Arial"/>
                <w:i/>
                <w:sz w:val="19"/>
                <w:szCs w:val="19"/>
                <w:lang w:val="pl-PL"/>
              </w:rPr>
              <w:t>Wskazówk</w:t>
            </w:r>
            <w:r w:rsidR="0020558D" w:rsidRPr="00BD2925">
              <w:rPr>
                <w:rFonts w:cs="Arial"/>
                <w:i/>
                <w:sz w:val="19"/>
                <w:szCs w:val="19"/>
                <w:lang w:val="pl-PL"/>
              </w:rPr>
              <w:t>a</w:t>
            </w:r>
            <w:r w:rsidR="009936D8" w:rsidRPr="00BD2925">
              <w:rPr>
                <w:rFonts w:cs="Arial"/>
                <w:i/>
                <w:sz w:val="19"/>
                <w:szCs w:val="19"/>
                <w:lang w:val="pl-PL"/>
              </w:rPr>
              <w:t>:</w:t>
            </w:r>
            <w:r w:rsidR="0020558D" w:rsidRPr="00BD2925">
              <w:rPr>
                <w:rFonts w:cs="Arial"/>
                <w:i/>
                <w:sz w:val="19"/>
                <w:szCs w:val="19"/>
                <w:lang w:val="pl-PL"/>
              </w:rPr>
              <w:t xml:space="preserve"> </w:t>
            </w:r>
            <w:r w:rsidRPr="00BD2925">
              <w:rPr>
                <w:rFonts w:cs="Arial"/>
                <w:i/>
                <w:sz w:val="19"/>
                <w:szCs w:val="19"/>
                <w:lang w:val="pl-PL"/>
              </w:rPr>
              <w:t>(por. też punkt 2 „Zawiadomienia Komisji w sprawie pomocy publicznej”</w:t>
            </w:r>
          </w:p>
          <w:p w14:paraId="17129A73" w14:textId="77777777" w:rsidR="00502C15" w:rsidRPr="00BD2925" w:rsidRDefault="00502C15" w:rsidP="00650A5C">
            <w:pPr>
              <w:pStyle w:val="Bezodstpw"/>
              <w:rPr>
                <w:rFonts w:cs="Arial"/>
                <w:i/>
                <w:sz w:val="19"/>
                <w:szCs w:val="19"/>
                <w:lang w:val="pl-PL"/>
              </w:rPr>
            </w:pPr>
          </w:p>
          <w:p w14:paraId="3FBBF9D4"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Pod pojęciem przedsiębiorstwa rozumie się po</w:t>
            </w:r>
            <w:r w:rsidRPr="00BD2925">
              <w:rPr>
                <w:rFonts w:cs="Arial"/>
                <w:i/>
                <w:sz w:val="19"/>
                <w:szCs w:val="19"/>
                <w:lang w:val="pl-PL"/>
              </w:rPr>
              <w:t>d</w:t>
            </w:r>
            <w:r w:rsidRPr="00BD2925">
              <w:rPr>
                <w:rFonts w:cs="Arial"/>
                <w:i/>
                <w:sz w:val="19"/>
                <w:szCs w:val="19"/>
                <w:lang w:val="pl-PL"/>
              </w:rPr>
              <w:t>mioty prowadzące działalność gospodarczą, bez względu na ich status prawny i sposób ich fina</w:t>
            </w:r>
            <w:r w:rsidRPr="00BD2925">
              <w:rPr>
                <w:rFonts w:cs="Arial"/>
                <w:i/>
                <w:sz w:val="19"/>
                <w:szCs w:val="19"/>
                <w:lang w:val="pl-PL"/>
              </w:rPr>
              <w:t>n</w:t>
            </w:r>
            <w:r w:rsidRPr="00BD2925">
              <w:rPr>
                <w:rFonts w:cs="Arial"/>
                <w:i/>
                <w:sz w:val="19"/>
                <w:szCs w:val="19"/>
                <w:lang w:val="pl-PL"/>
              </w:rPr>
              <w:t>sowania.</w:t>
            </w:r>
          </w:p>
          <w:p w14:paraId="296C21DE" w14:textId="77777777" w:rsidR="00502C15" w:rsidRPr="00BD2925" w:rsidRDefault="00502C15" w:rsidP="00650A5C">
            <w:pPr>
              <w:pStyle w:val="Bezodstpw"/>
              <w:rPr>
                <w:rFonts w:cs="Arial"/>
                <w:i/>
                <w:sz w:val="19"/>
                <w:szCs w:val="19"/>
                <w:lang w:val="pl-PL"/>
              </w:rPr>
            </w:pPr>
          </w:p>
          <w:p w14:paraId="345C120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Działalnością gospodarczą jest wszelka działa</w:t>
            </w:r>
            <w:r w:rsidRPr="00BD2925">
              <w:rPr>
                <w:rFonts w:cs="Arial"/>
                <w:i/>
                <w:sz w:val="19"/>
                <w:szCs w:val="19"/>
                <w:lang w:val="pl-PL"/>
              </w:rPr>
              <w:t>l</w:t>
            </w:r>
            <w:r w:rsidRPr="00BD2925">
              <w:rPr>
                <w:rFonts w:cs="Arial"/>
                <w:i/>
                <w:sz w:val="19"/>
                <w:szCs w:val="19"/>
                <w:lang w:val="pl-PL"/>
              </w:rPr>
              <w:t>ność polegająca na oferowaniu na rynku towarów i usług.</w:t>
            </w:r>
          </w:p>
          <w:p w14:paraId="4B2D2C60" w14:textId="77777777" w:rsidR="00502C15" w:rsidRPr="00BD2925" w:rsidRDefault="00502C15" w:rsidP="00650A5C">
            <w:pPr>
              <w:pStyle w:val="Bezodstpw"/>
              <w:rPr>
                <w:rFonts w:cs="Arial"/>
                <w:i/>
                <w:sz w:val="19"/>
                <w:szCs w:val="19"/>
                <w:lang w:val="pl-PL"/>
              </w:rPr>
            </w:pPr>
          </w:p>
          <w:p w14:paraId="1F0C4CC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W odniesieniu do działalności gospodarczej w dziedzinie kultury pomocne są w szczególności zapisy punktu 2.6 „Zawiadomienia Komisji w spr</w:t>
            </w:r>
            <w:r w:rsidRPr="00BD2925">
              <w:rPr>
                <w:rFonts w:cs="Arial"/>
                <w:i/>
                <w:sz w:val="19"/>
                <w:szCs w:val="19"/>
                <w:lang w:val="pl-PL"/>
              </w:rPr>
              <w:t>a</w:t>
            </w:r>
            <w:r w:rsidRPr="00BD2925">
              <w:rPr>
                <w:rFonts w:cs="Arial"/>
                <w:i/>
                <w:sz w:val="19"/>
                <w:szCs w:val="19"/>
                <w:lang w:val="pl-PL"/>
              </w:rPr>
              <w:t>wie pomocy publicznej”. Tam odnotowano m.in.:</w:t>
            </w:r>
          </w:p>
          <w:p w14:paraId="35EAF37E" w14:textId="77777777" w:rsidR="00502C15" w:rsidRPr="00BD2925" w:rsidRDefault="00502C15" w:rsidP="00650A5C">
            <w:pPr>
              <w:pStyle w:val="Bezodstpw"/>
              <w:rPr>
                <w:rFonts w:cs="Arial"/>
                <w:i/>
                <w:sz w:val="19"/>
                <w:szCs w:val="19"/>
                <w:lang w:val="pl-PL"/>
              </w:rPr>
            </w:pPr>
          </w:p>
          <w:p w14:paraId="118C0A42"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„Komisja uważa, że finansowanie publiczne kultury lub działań służących zachowaniu dziedzictwa kulturowego, których wyniki są dostępne dla ogółu społeczeństwa nieodpłatnie, spełnia czysto sp</w:t>
            </w:r>
            <w:r w:rsidRPr="00BD2925">
              <w:rPr>
                <w:rFonts w:cs="Arial"/>
                <w:i/>
                <w:sz w:val="19"/>
                <w:szCs w:val="19"/>
                <w:lang w:val="pl-PL"/>
              </w:rPr>
              <w:t>o</w:t>
            </w:r>
            <w:r w:rsidRPr="00BD2925">
              <w:rPr>
                <w:rFonts w:cs="Arial"/>
                <w:i/>
                <w:sz w:val="19"/>
                <w:szCs w:val="19"/>
                <w:lang w:val="pl-PL"/>
              </w:rPr>
              <w:t>łeczny i kulturowy cel o charakterze niegospoda</w:t>
            </w:r>
            <w:r w:rsidRPr="00BD2925">
              <w:rPr>
                <w:rFonts w:cs="Arial"/>
                <w:i/>
                <w:sz w:val="19"/>
                <w:szCs w:val="19"/>
                <w:lang w:val="pl-PL"/>
              </w:rPr>
              <w:t>r</w:t>
            </w:r>
            <w:r w:rsidRPr="00BD2925">
              <w:rPr>
                <w:rFonts w:cs="Arial"/>
                <w:i/>
                <w:sz w:val="19"/>
                <w:szCs w:val="19"/>
                <w:lang w:val="pl-PL"/>
              </w:rPr>
              <w:t>czym. Podobnie fakt, że odwiedzający instytucje kultury lub uczestnicy wydarzeń kulturalnych lub działań służących zachowaniu dziedzictwa kult</w:t>
            </w:r>
            <w:r w:rsidRPr="00BD2925">
              <w:rPr>
                <w:rFonts w:cs="Arial"/>
                <w:i/>
                <w:sz w:val="19"/>
                <w:szCs w:val="19"/>
                <w:lang w:val="pl-PL"/>
              </w:rPr>
              <w:t>u</w:t>
            </w:r>
            <w:r w:rsidRPr="00BD2925">
              <w:rPr>
                <w:rFonts w:cs="Arial"/>
                <w:i/>
                <w:sz w:val="19"/>
                <w:szCs w:val="19"/>
                <w:lang w:val="pl-PL"/>
              </w:rPr>
              <w:t>rowego, w tym ochronie przyrody, otwartych dla ogółu społeczeństwa są zobowiązani do wniesi</w:t>
            </w:r>
            <w:r w:rsidRPr="00BD2925">
              <w:rPr>
                <w:rFonts w:cs="Arial"/>
                <w:i/>
                <w:sz w:val="19"/>
                <w:szCs w:val="19"/>
                <w:lang w:val="pl-PL"/>
              </w:rPr>
              <w:t>e</w:t>
            </w:r>
            <w:r w:rsidRPr="00BD2925">
              <w:rPr>
                <w:rFonts w:cs="Arial"/>
                <w:i/>
                <w:sz w:val="19"/>
                <w:szCs w:val="19"/>
                <w:lang w:val="pl-PL"/>
              </w:rPr>
              <w:t>nia świadczenia pieniężnego, które pokrywa jed</w:t>
            </w:r>
            <w:r w:rsidRPr="00BD2925">
              <w:rPr>
                <w:rFonts w:cs="Arial"/>
                <w:i/>
                <w:sz w:val="19"/>
                <w:szCs w:val="19"/>
                <w:lang w:val="pl-PL"/>
              </w:rPr>
              <w:t>y</w:t>
            </w:r>
            <w:r w:rsidRPr="00BD2925">
              <w:rPr>
                <w:rFonts w:cs="Arial"/>
                <w:i/>
                <w:sz w:val="19"/>
                <w:szCs w:val="19"/>
                <w:lang w:val="pl-PL"/>
              </w:rPr>
              <w:t xml:space="preserve">nie ułamek kosztów rzeczywistych, nie zmienia niegospodarczego charakteru tej działalności, ponieważ takiego świadczenia nie można uznać za rzeczywiste wynagrodzenie za świadczoną usługę. </w:t>
            </w:r>
          </w:p>
          <w:p w14:paraId="44724584" w14:textId="77777777" w:rsidR="00502C15" w:rsidRPr="00BD2925" w:rsidRDefault="00502C15" w:rsidP="00650A5C">
            <w:pPr>
              <w:pStyle w:val="Bezodstpw"/>
              <w:rPr>
                <w:rFonts w:cs="Arial"/>
                <w:i/>
                <w:sz w:val="19"/>
                <w:szCs w:val="19"/>
                <w:lang w:val="pl-PL"/>
              </w:rPr>
            </w:pPr>
          </w:p>
          <w:p w14:paraId="6EE1B3FD"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Z drugiej strony, wydarzenia kulturalne lub dział</w:t>
            </w:r>
            <w:r w:rsidRPr="00BD2925">
              <w:rPr>
                <w:rFonts w:cs="Arial"/>
                <w:i/>
                <w:sz w:val="19"/>
                <w:szCs w:val="19"/>
                <w:lang w:val="pl-PL"/>
              </w:rPr>
              <w:t>a</w:t>
            </w:r>
            <w:r w:rsidRPr="00BD2925">
              <w:rPr>
                <w:rFonts w:cs="Arial"/>
                <w:i/>
                <w:sz w:val="19"/>
                <w:szCs w:val="19"/>
                <w:lang w:val="pl-PL"/>
              </w:rPr>
              <w:t>nia służące zachowaniu dziedzictwa kulturowego (w tym ochronie przyrody) finansowane głównie z opłat wnoszonych przez odwiedzających lub uży</w:t>
            </w:r>
            <w:r w:rsidRPr="00BD2925">
              <w:rPr>
                <w:rFonts w:cs="Arial"/>
                <w:i/>
                <w:sz w:val="19"/>
                <w:szCs w:val="19"/>
                <w:lang w:val="pl-PL"/>
              </w:rPr>
              <w:t>t</w:t>
            </w:r>
            <w:r w:rsidRPr="00BD2925">
              <w:rPr>
                <w:rFonts w:cs="Arial"/>
                <w:i/>
                <w:sz w:val="19"/>
                <w:szCs w:val="19"/>
                <w:lang w:val="pl-PL"/>
              </w:rPr>
              <w:t>kowników lub w inny komercyjny sposób (np. w</w:t>
            </w:r>
            <w:r w:rsidRPr="00BD2925">
              <w:rPr>
                <w:rFonts w:cs="Arial"/>
                <w:i/>
                <w:sz w:val="19"/>
                <w:szCs w:val="19"/>
                <w:lang w:val="pl-PL"/>
              </w:rPr>
              <w:t>y</w:t>
            </w:r>
            <w:r w:rsidRPr="00BD2925">
              <w:rPr>
                <w:rFonts w:cs="Arial"/>
                <w:i/>
                <w:sz w:val="19"/>
                <w:szCs w:val="19"/>
                <w:lang w:val="pl-PL"/>
              </w:rPr>
              <w:t>stawy komercyjne, kina, komercyjne spektakle muzyczne i festiwale, szkoły artystyczne finans</w:t>
            </w:r>
            <w:r w:rsidRPr="00BD2925">
              <w:rPr>
                <w:rFonts w:cs="Arial"/>
                <w:i/>
                <w:sz w:val="19"/>
                <w:szCs w:val="19"/>
                <w:lang w:val="pl-PL"/>
              </w:rPr>
              <w:t>o</w:t>
            </w:r>
            <w:r w:rsidRPr="00BD2925">
              <w:rPr>
                <w:rFonts w:cs="Arial"/>
                <w:i/>
                <w:sz w:val="19"/>
                <w:szCs w:val="19"/>
                <w:lang w:val="pl-PL"/>
              </w:rPr>
              <w:t>wane głównie z czesnego) należy uznać za mające charakter gospodarczy. Podobnie wydarzenia kulturalne lub działania służące zachowaniu dzi</w:t>
            </w:r>
            <w:r w:rsidRPr="00BD2925">
              <w:rPr>
                <w:rFonts w:cs="Arial"/>
                <w:i/>
                <w:sz w:val="19"/>
                <w:szCs w:val="19"/>
                <w:lang w:val="pl-PL"/>
              </w:rPr>
              <w:t>e</w:t>
            </w:r>
            <w:r w:rsidRPr="00BD2925">
              <w:rPr>
                <w:rFonts w:cs="Arial"/>
                <w:i/>
                <w:sz w:val="19"/>
                <w:szCs w:val="19"/>
                <w:lang w:val="pl-PL"/>
              </w:rPr>
              <w:t>dzictwa kulturowego przynoszące korzyści wyłąc</w:t>
            </w:r>
            <w:r w:rsidRPr="00BD2925">
              <w:rPr>
                <w:rFonts w:cs="Arial"/>
                <w:i/>
                <w:sz w:val="19"/>
                <w:szCs w:val="19"/>
                <w:lang w:val="pl-PL"/>
              </w:rPr>
              <w:t>z</w:t>
            </w:r>
            <w:r w:rsidRPr="00BD2925">
              <w:rPr>
                <w:rFonts w:cs="Arial"/>
                <w:i/>
                <w:sz w:val="19"/>
                <w:szCs w:val="19"/>
                <w:lang w:val="pl-PL"/>
              </w:rPr>
              <w:t>nie niektórym przedsiębiorstwom, a nie ogółowi społeczeństwa (np. renowacja zabytkowego b</w:t>
            </w:r>
            <w:r w:rsidRPr="00BD2925">
              <w:rPr>
                <w:rFonts w:cs="Arial"/>
                <w:i/>
                <w:sz w:val="19"/>
                <w:szCs w:val="19"/>
                <w:lang w:val="pl-PL"/>
              </w:rPr>
              <w:t>u</w:t>
            </w:r>
            <w:r w:rsidRPr="00BD2925">
              <w:rPr>
                <w:rFonts w:cs="Arial"/>
                <w:i/>
                <w:sz w:val="19"/>
                <w:szCs w:val="19"/>
                <w:lang w:val="pl-PL"/>
              </w:rPr>
              <w:t>dynku wykorzystywanego przez przedsiębiorstwo prywatne) należy zasadniczo uznać za działalność gospodarczą.”</w:t>
            </w:r>
          </w:p>
          <w:p w14:paraId="55D4D376" w14:textId="77777777" w:rsidR="00502C15" w:rsidRPr="00BD2925" w:rsidRDefault="00502C15" w:rsidP="00650A5C">
            <w:pPr>
              <w:pStyle w:val="Bezodstpw"/>
              <w:rPr>
                <w:rFonts w:cs="Arial"/>
                <w:i/>
                <w:sz w:val="19"/>
                <w:szCs w:val="19"/>
                <w:lang w:val="pl-PL"/>
              </w:rPr>
            </w:pPr>
          </w:p>
        </w:tc>
        <w:tc>
          <w:tcPr>
            <w:tcW w:w="692" w:type="dxa"/>
            <w:shd w:val="clear" w:color="auto" w:fill="auto"/>
          </w:tcPr>
          <w:p w14:paraId="60C147AE" w14:textId="77777777" w:rsidR="00502C15" w:rsidRPr="00BD2925" w:rsidRDefault="00502C15" w:rsidP="00650A5C">
            <w:pPr>
              <w:spacing w:line="360" w:lineRule="auto"/>
              <w:jc w:val="both"/>
              <w:rPr>
                <w:rFonts w:cs="Arial"/>
                <w:sz w:val="22"/>
                <w:szCs w:val="22"/>
                <w:lang w:val="pl-PL"/>
              </w:rPr>
            </w:pPr>
          </w:p>
        </w:tc>
        <w:tc>
          <w:tcPr>
            <w:tcW w:w="633" w:type="dxa"/>
            <w:shd w:val="clear" w:color="auto" w:fill="auto"/>
          </w:tcPr>
          <w:p w14:paraId="71E7DB0A" w14:textId="588041C4" w:rsidR="00502C15" w:rsidRPr="00BD2925" w:rsidRDefault="00502C15" w:rsidP="00227879">
            <w:pPr>
              <w:spacing w:line="360" w:lineRule="auto"/>
              <w:jc w:val="center"/>
              <w:rPr>
                <w:rFonts w:cs="Arial"/>
                <w:sz w:val="22"/>
                <w:szCs w:val="22"/>
                <w:lang w:val="pl-PL"/>
              </w:rPr>
            </w:pPr>
          </w:p>
        </w:tc>
        <w:tc>
          <w:tcPr>
            <w:tcW w:w="3183" w:type="dxa"/>
            <w:shd w:val="clear" w:color="auto" w:fill="auto"/>
          </w:tcPr>
          <w:p w14:paraId="1F5E1786" w14:textId="77777777" w:rsidR="00FD4C80" w:rsidRPr="00BD2925" w:rsidRDefault="00FD4C80" w:rsidP="00227879">
            <w:pPr>
              <w:pStyle w:val="Default"/>
              <w:rPr>
                <w:rFonts w:ascii="Arial" w:hAnsi="Arial" w:cs="Arial"/>
                <w:sz w:val="19"/>
                <w:szCs w:val="19"/>
                <w:lang w:val="pl-PL"/>
              </w:rPr>
            </w:pPr>
          </w:p>
          <w:p w14:paraId="77B9428C" w14:textId="77777777" w:rsidR="0025709A" w:rsidRPr="00BD2925" w:rsidRDefault="0025709A" w:rsidP="00B518B1">
            <w:pPr>
              <w:pStyle w:val="Default"/>
              <w:rPr>
                <w:rFonts w:ascii="Arial" w:hAnsi="Arial" w:cs="Arial"/>
                <w:sz w:val="19"/>
                <w:szCs w:val="19"/>
                <w:lang w:val="pl-PL"/>
              </w:rPr>
            </w:pPr>
          </w:p>
          <w:p w14:paraId="193AF105" w14:textId="77777777" w:rsidR="00295CBB" w:rsidRPr="00BD2925" w:rsidRDefault="00295CBB" w:rsidP="00B518B1">
            <w:pPr>
              <w:pStyle w:val="Default"/>
              <w:rPr>
                <w:rFonts w:ascii="Arial" w:hAnsi="Arial" w:cs="Arial"/>
                <w:sz w:val="19"/>
                <w:szCs w:val="19"/>
                <w:lang w:val="pl-PL"/>
              </w:rPr>
            </w:pPr>
          </w:p>
          <w:p w14:paraId="053CFF8C" w14:textId="77777777" w:rsidR="00295CBB" w:rsidRPr="00BD2925" w:rsidRDefault="00295CBB" w:rsidP="00B518B1">
            <w:pPr>
              <w:pStyle w:val="Default"/>
              <w:rPr>
                <w:rFonts w:ascii="Arial" w:hAnsi="Arial" w:cs="Arial"/>
                <w:sz w:val="19"/>
                <w:szCs w:val="19"/>
                <w:lang w:val="pl-PL"/>
              </w:rPr>
            </w:pPr>
          </w:p>
          <w:p w14:paraId="10245037" w14:textId="77777777" w:rsidR="00295CBB" w:rsidRPr="00BD2925" w:rsidRDefault="00295CBB" w:rsidP="00B518B1">
            <w:pPr>
              <w:pStyle w:val="Default"/>
              <w:rPr>
                <w:rFonts w:ascii="Arial" w:hAnsi="Arial" w:cs="Arial"/>
                <w:sz w:val="19"/>
                <w:szCs w:val="19"/>
                <w:lang w:val="pl-PL"/>
              </w:rPr>
            </w:pPr>
          </w:p>
          <w:p w14:paraId="5C2603DA" w14:textId="77777777" w:rsidR="00295CBB" w:rsidRPr="00BD2925" w:rsidRDefault="00295CBB" w:rsidP="00B518B1">
            <w:pPr>
              <w:pStyle w:val="Default"/>
              <w:rPr>
                <w:rFonts w:ascii="Arial" w:hAnsi="Arial" w:cs="Arial"/>
                <w:sz w:val="19"/>
                <w:szCs w:val="19"/>
                <w:lang w:val="pl-PL"/>
              </w:rPr>
            </w:pPr>
          </w:p>
          <w:p w14:paraId="396EB30A" w14:textId="77777777" w:rsidR="00295CBB" w:rsidRPr="00BD2925" w:rsidRDefault="00295CBB" w:rsidP="00B518B1">
            <w:pPr>
              <w:pStyle w:val="Default"/>
              <w:rPr>
                <w:rFonts w:ascii="Arial" w:hAnsi="Arial" w:cs="Arial"/>
                <w:sz w:val="19"/>
                <w:szCs w:val="19"/>
                <w:lang w:val="pl-PL"/>
              </w:rPr>
            </w:pPr>
          </w:p>
          <w:p w14:paraId="54EB9767" w14:textId="1F3B7E4F" w:rsidR="00502C15" w:rsidRPr="00BD2925" w:rsidRDefault="00502C15" w:rsidP="00B518B1">
            <w:pPr>
              <w:pStyle w:val="Default"/>
              <w:rPr>
                <w:rFonts w:ascii="Arial" w:hAnsi="Arial" w:cs="Arial"/>
                <w:sz w:val="19"/>
                <w:szCs w:val="19"/>
                <w:lang w:val="pl-PL"/>
              </w:rPr>
            </w:pPr>
            <w:r w:rsidRPr="00BD2925">
              <w:rPr>
                <w:rFonts w:ascii="Arial" w:hAnsi="Arial" w:cs="Arial"/>
                <w:i/>
                <w:sz w:val="19"/>
                <w:szCs w:val="19"/>
                <w:lang w:val="pl-PL"/>
              </w:rPr>
              <w:t>Tylko, jeżeli „tak“ należy kont</w:t>
            </w:r>
            <w:r w:rsidRPr="00BD2925">
              <w:rPr>
                <w:rFonts w:ascii="Arial" w:hAnsi="Arial" w:cs="Arial"/>
                <w:i/>
                <w:sz w:val="19"/>
                <w:szCs w:val="19"/>
                <w:lang w:val="pl-PL"/>
              </w:rPr>
              <w:t>y</w:t>
            </w:r>
            <w:r w:rsidRPr="00BD2925">
              <w:rPr>
                <w:rFonts w:ascii="Arial" w:hAnsi="Arial" w:cs="Arial"/>
                <w:i/>
                <w:sz w:val="19"/>
                <w:szCs w:val="19"/>
                <w:lang w:val="pl-PL"/>
              </w:rPr>
              <w:t>nuować</w:t>
            </w:r>
          </w:p>
        </w:tc>
      </w:tr>
      <w:tr w:rsidR="005C7753" w:rsidRPr="00D672D9" w14:paraId="3CB4667C" w14:textId="77777777" w:rsidTr="008E1FA7">
        <w:trPr>
          <w:gridAfter w:val="1"/>
          <w:wAfter w:w="23" w:type="dxa"/>
        </w:trPr>
        <w:tc>
          <w:tcPr>
            <w:tcW w:w="4531" w:type="dxa"/>
            <w:shd w:val="clear" w:color="auto" w:fill="DDD9C3" w:themeFill="background2" w:themeFillShade="E6"/>
          </w:tcPr>
          <w:p w14:paraId="7E307FDA" w14:textId="63A62CE1" w:rsidR="005C7753" w:rsidRPr="007721B6" w:rsidRDefault="005C7753" w:rsidP="005C7753">
            <w:pPr>
              <w:pStyle w:val="Bezodstpw"/>
              <w:numPr>
                <w:ilvl w:val="0"/>
                <w:numId w:val="3"/>
              </w:numPr>
              <w:rPr>
                <w:rFonts w:cs="Arial"/>
                <w:b/>
                <w:lang w:val="pl-PL"/>
              </w:rPr>
            </w:pPr>
            <w:r w:rsidRPr="007721B6">
              <w:rPr>
                <w:rFonts w:cs="Arial"/>
                <w:b/>
                <w:lang w:val="pl-PL"/>
              </w:rPr>
              <w:lastRenderedPageBreak/>
              <w:t>Czy występuje korzyść?</w:t>
            </w:r>
          </w:p>
          <w:p w14:paraId="52A3C54D" w14:textId="320272C6" w:rsidR="005C7753" w:rsidRPr="007721B6" w:rsidRDefault="005C7753" w:rsidP="005C7753">
            <w:pPr>
              <w:pStyle w:val="Bezodstpw"/>
              <w:rPr>
                <w:rFonts w:cs="Arial"/>
                <w:i/>
                <w:sz w:val="19"/>
                <w:szCs w:val="19"/>
                <w:lang w:val="pl-PL"/>
              </w:rPr>
            </w:pPr>
            <w:r w:rsidRPr="007721B6">
              <w:rPr>
                <w:rFonts w:cs="Arial"/>
                <w:i/>
                <w:sz w:val="19"/>
                <w:szCs w:val="19"/>
                <w:lang w:val="pl-PL"/>
              </w:rPr>
              <w:t>Korzyść oznacza każdą korzyść gospodarczą, której dane przedsiębiorstwo nie mogłoby uzyskać w normalnych warunkach rynkowych, tj. bez inte</w:t>
            </w:r>
            <w:r w:rsidRPr="007721B6">
              <w:rPr>
                <w:rFonts w:cs="Arial"/>
                <w:i/>
                <w:sz w:val="19"/>
                <w:szCs w:val="19"/>
                <w:lang w:val="pl-PL"/>
              </w:rPr>
              <w:t>r</w:t>
            </w:r>
            <w:r w:rsidRPr="007721B6">
              <w:rPr>
                <w:rFonts w:cs="Arial"/>
                <w:i/>
                <w:sz w:val="19"/>
                <w:szCs w:val="19"/>
                <w:lang w:val="pl-PL"/>
              </w:rPr>
              <w:t>wencji państwa.</w:t>
            </w:r>
          </w:p>
          <w:p w14:paraId="563E0928" w14:textId="527EAD4D" w:rsidR="005C7753" w:rsidRPr="007721B6" w:rsidRDefault="005C7753" w:rsidP="005C7753">
            <w:pPr>
              <w:pStyle w:val="Bezodstpw"/>
              <w:rPr>
                <w:rFonts w:cs="Arial"/>
                <w:i/>
                <w:sz w:val="19"/>
                <w:szCs w:val="19"/>
                <w:lang w:val="pl-PL"/>
              </w:rPr>
            </w:pPr>
            <w:r w:rsidRPr="007721B6">
              <w:rPr>
                <w:rFonts w:cs="Arial"/>
                <w:i/>
                <w:sz w:val="19"/>
                <w:szCs w:val="19"/>
                <w:lang w:val="pl-PL"/>
              </w:rPr>
              <w:t>Znaczenie ma wyłącznie wpływ środka na prze</w:t>
            </w:r>
            <w:r w:rsidRPr="007721B6">
              <w:rPr>
                <w:rFonts w:cs="Arial"/>
                <w:i/>
                <w:sz w:val="19"/>
                <w:szCs w:val="19"/>
                <w:lang w:val="pl-PL"/>
              </w:rPr>
              <w:t>d</w:t>
            </w:r>
            <w:r w:rsidRPr="007721B6">
              <w:rPr>
                <w:rFonts w:cs="Arial"/>
                <w:i/>
                <w:sz w:val="19"/>
                <w:szCs w:val="19"/>
                <w:lang w:val="pl-PL"/>
              </w:rPr>
              <w:t>siębiorstwo, a nie przyczyna czy cel interwencji państwa. Forma środka jest nieistotna. Zarówno przyznanie pozytywnych świadczeń, jak i zwolni</w:t>
            </w:r>
            <w:r w:rsidRPr="007721B6">
              <w:rPr>
                <w:rFonts w:cs="Arial"/>
                <w:i/>
                <w:sz w:val="19"/>
                <w:szCs w:val="19"/>
                <w:lang w:val="pl-PL"/>
              </w:rPr>
              <w:t>e</w:t>
            </w:r>
            <w:r w:rsidRPr="007721B6">
              <w:rPr>
                <w:rFonts w:cs="Arial"/>
                <w:i/>
                <w:sz w:val="19"/>
                <w:szCs w:val="19"/>
                <w:lang w:val="pl-PL"/>
              </w:rPr>
              <w:t>nie z obciążeń, takich jak zmniejszenie lub zni</w:t>
            </w:r>
            <w:r w:rsidRPr="007721B6">
              <w:rPr>
                <w:rFonts w:cs="Arial"/>
                <w:i/>
                <w:sz w:val="19"/>
                <w:szCs w:val="19"/>
                <w:lang w:val="pl-PL"/>
              </w:rPr>
              <w:t>e</w:t>
            </w:r>
            <w:r w:rsidRPr="007721B6">
              <w:rPr>
                <w:rFonts w:cs="Arial"/>
                <w:i/>
                <w:sz w:val="19"/>
                <w:szCs w:val="19"/>
                <w:lang w:val="pl-PL"/>
              </w:rPr>
              <w:t>sienie zwykle stosowanych opłat, może stanowić korzyść.</w:t>
            </w:r>
          </w:p>
          <w:p w14:paraId="24F22B9C" w14:textId="77777777" w:rsidR="005C7753" w:rsidRPr="007721B6" w:rsidRDefault="005C7753" w:rsidP="005C7753">
            <w:pPr>
              <w:pStyle w:val="Bezodstpw"/>
              <w:rPr>
                <w:rFonts w:cs="Arial"/>
                <w:i/>
                <w:sz w:val="19"/>
                <w:szCs w:val="19"/>
                <w:lang w:val="pl-PL"/>
              </w:rPr>
            </w:pPr>
            <w:r w:rsidRPr="007721B6">
              <w:rPr>
                <w:rFonts w:cs="Arial"/>
                <w:i/>
                <w:sz w:val="19"/>
                <w:szCs w:val="19"/>
                <w:lang w:val="pl-PL"/>
              </w:rPr>
              <w:lastRenderedPageBreak/>
              <w:t>Oprócz korzyści przyznanych bezpośrednio</w:t>
            </w:r>
          </w:p>
          <w:p w14:paraId="1ED0FC12" w14:textId="31488346" w:rsidR="005C7753" w:rsidRPr="007721B6" w:rsidRDefault="005C7753" w:rsidP="005C7753">
            <w:pPr>
              <w:pStyle w:val="Bezodstpw"/>
              <w:rPr>
                <w:rFonts w:cs="Arial"/>
                <w:i/>
                <w:sz w:val="19"/>
                <w:szCs w:val="19"/>
                <w:lang w:val="pl-PL"/>
              </w:rPr>
            </w:pPr>
            <w:r w:rsidRPr="007721B6">
              <w:rPr>
                <w:rFonts w:cs="Arial"/>
                <w:i/>
                <w:sz w:val="19"/>
                <w:szCs w:val="19"/>
                <w:lang w:val="pl-PL"/>
              </w:rPr>
              <w:t>przedsiębiorstwu, należy również wziąć pod uwagę korzyści pośrednie. Występują one, jeśli środek ma również wpływ na inne przedsiębiorstwa możliwe do określenia ex ante, które nie są bezpośrednio odbiorcami funduszy państwowych.</w:t>
            </w:r>
          </w:p>
          <w:p w14:paraId="6D30A644" w14:textId="4548564D" w:rsidR="005C7753" w:rsidRPr="007721B6" w:rsidRDefault="005C7753" w:rsidP="005C7753">
            <w:pPr>
              <w:pStyle w:val="Bezodstpw"/>
              <w:rPr>
                <w:rFonts w:cs="Arial"/>
                <w:i/>
                <w:sz w:val="19"/>
                <w:szCs w:val="19"/>
                <w:lang w:val="pl-PL"/>
              </w:rPr>
            </w:pPr>
            <w:r w:rsidRPr="007721B6">
              <w:rPr>
                <w:rFonts w:cs="Arial"/>
                <w:i/>
                <w:sz w:val="19"/>
                <w:szCs w:val="19"/>
                <w:lang w:val="pl-PL"/>
              </w:rPr>
              <w:t>Korzyść nie występuje, jeśli działanie jest realiz</w:t>
            </w:r>
            <w:r w:rsidRPr="007721B6">
              <w:rPr>
                <w:rFonts w:cs="Arial"/>
                <w:i/>
                <w:sz w:val="19"/>
                <w:szCs w:val="19"/>
                <w:lang w:val="pl-PL"/>
              </w:rPr>
              <w:t>o</w:t>
            </w:r>
            <w:r w:rsidRPr="007721B6">
              <w:rPr>
                <w:rFonts w:cs="Arial"/>
                <w:i/>
                <w:sz w:val="19"/>
                <w:szCs w:val="19"/>
                <w:lang w:val="pl-PL"/>
              </w:rPr>
              <w:t>wane na warunkach rynkowych (działanie w w</w:t>
            </w:r>
            <w:r w:rsidRPr="007721B6">
              <w:rPr>
                <w:rFonts w:cs="Arial"/>
                <w:i/>
                <w:sz w:val="19"/>
                <w:szCs w:val="19"/>
                <w:lang w:val="pl-PL"/>
              </w:rPr>
              <w:t>a</w:t>
            </w:r>
            <w:r w:rsidRPr="007721B6">
              <w:rPr>
                <w:rFonts w:cs="Arial"/>
                <w:i/>
                <w:sz w:val="19"/>
                <w:szCs w:val="19"/>
                <w:lang w:val="pl-PL"/>
              </w:rPr>
              <w:t>runkach gospodarki rynkowej).</w:t>
            </w:r>
          </w:p>
        </w:tc>
        <w:tc>
          <w:tcPr>
            <w:tcW w:w="692" w:type="dxa"/>
            <w:shd w:val="clear" w:color="auto" w:fill="auto"/>
          </w:tcPr>
          <w:p w14:paraId="7E676BF2"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60A51CD2"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394F9282" w14:textId="3B43C084"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D672D9" w14:paraId="21F26A4C" w14:textId="77777777" w:rsidTr="008E1FA7">
        <w:trPr>
          <w:gridAfter w:val="1"/>
          <w:wAfter w:w="23" w:type="dxa"/>
        </w:trPr>
        <w:tc>
          <w:tcPr>
            <w:tcW w:w="4531" w:type="dxa"/>
            <w:shd w:val="clear" w:color="auto" w:fill="DDD9C3" w:themeFill="background2" w:themeFillShade="E6"/>
          </w:tcPr>
          <w:p w14:paraId="747D31D9" w14:textId="77777777" w:rsidR="005C7753" w:rsidRPr="007721B6" w:rsidRDefault="005C7753" w:rsidP="005C7753">
            <w:pPr>
              <w:pStyle w:val="Bezodstpw"/>
              <w:numPr>
                <w:ilvl w:val="0"/>
                <w:numId w:val="3"/>
              </w:numPr>
              <w:ind w:left="284" w:hanging="77"/>
              <w:rPr>
                <w:rFonts w:cs="Arial"/>
                <w:b/>
                <w:lang w:val="pl-PL"/>
              </w:rPr>
            </w:pPr>
            <w:r w:rsidRPr="007721B6">
              <w:rPr>
                <w:rFonts w:cs="Arial"/>
                <w:b/>
                <w:lang w:val="pl-PL"/>
              </w:rPr>
              <w:lastRenderedPageBreak/>
              <w:t>Czy wsparcie ma charakter sele</w:t>
            </w:r>
            <w:r w:rsidRPr="007721B6">
              <w:rPr>
                <w:rFonts w:cs="Arial"/>
                <w:b/>
                <w:lang w:val="pl-PL"/>
              </w:rPr>
              <w:t>k</w:t>
            </w:r>
            <w:r w:rsidRPr="007721B6">
              <w:rPr>
                <w:rFonts w:cs="Arial"/>
                <w:b/>
                <w:lang w:val="pl-PL"/>
              </w:rPr>
              <w:t xml:space="preserve">tywny </w:t>
            </w:r>
          </w:p>
          <w:p w14:paraId="1F0CECCE" w14:textId="3EA50AF8" w:rsidR="005301DF" w:rsidRPr="007721B6" w:rsidRDefault="005301DF" w:rsidP="005301DF">
            <w:pPr>
              <w:pStyle w:val="Bezodstpw"/>
              <w:rPr>
                <w:rFonts w:cs="Arial"/>
                <w:i/>
                <w:sz w:val="19"/>
                <w:szCs w:val="19"/>
                <w:lang w:val="pl-PL"/>
              </w:rPr>
            </w:pPr>
            <w:r w:rsidRPr="007721B6">
              <w:rPr>
                <w:rFonts w:cs="Arial"/>
                <w:i/>
                <w:sz w:val="19"/>
                <w:szCs w:val="19"/>
                <w:lang w:val="pl-PL"/>
              </w:rPr>
              <w:t>Selektywność przedmiotowa środka oznacza, że dany środek ma zastosowanie wyłącznie do okr</w:t>
            </w:r>
            <w:r w:rsidRPr="007721B6">
              <w:rPr>
                <w:rFonts w:cs="Arial"/>
                <w:i/>
                <w:sz w:val="19"/>
                <w:szCs w:val="19"/>
                <w:lang w:val="pl-PL"/>
              </w:rPr>
              <w:t>e</w:t>
            </w:r>
            <w:r w:rsidRPr="007721B6">
              <w:rPr>
                <w:rFonts w:cs="Arial"/>
                <w:i/>
                <w:sz w:val="19"/>
                <w:szCs w:val="19"/>
                <w:lang w:val="pl-PL"/>
              </w:rPr>
              <w:t>ślonych (grup) przedsiębiorstw lub określonych sektorów gospodarki w danym państwie członko</w:t>
            </w:r>
            <w:r w:rsidRPr="007721B6">
              <w:rPr>
                <w:rFonts w:cs="Arial"/>
                <w:i/>
                <w:sz w:val="19"/>
                <w:szCs w:val="19"/>
                <w:lang w:val="pl-PL"/>
              </w:rPr>
              <w:t>w</w:t>
            </w:r>
            <w:r w:rsidRPr="007721B6">
              <w:rPr>
                <w:rFonts w:cs="Arial"/>
                <w:i/>
                <w:sz w:val="19"/>
                <w:szCs w:val="19"/>
                <w:lang w:val="pl-PL"/>
              </w:rPr>
              <w:t>skim.</w:t>
            </w:r>
          </w:p>
          <w:p w14:paraId="4DE5567A" w14:textId="77777777" w:rsidR="005301DF" w:rsidRPr="007721B6" w:rsidRDefault="005301DF" w:rsidP="005301DF">
            <w:pPr>
              <w:pStyle w:val="Bezodstpw"/>
              <w:rPr>
                <w:rFonts w:cs="Arial"/>
                <w:i/>
                <w:sz w:val="19"/>
                <w:szCs w:val="19"/>
                <w:lang w:val="pl-PL"/>
              </w:rPr>
            </w:pPr>
            <w:r w:rsidRPr="007721B6">
              <w:rPr>
                <w:rFonts w:cs="Arial"/>
                <w:i/>
                <w:sz w:val="19"/>
                <w:szCs w:val="19"/>
                <w:lang w:val="pl-PL"/>
              </w:rPr>
              <w:t>Selektywność regionalna oznacza, że środek ma</w:t>
            </w:r>
          </w:p>
          <w:p w14:paraId="3B5B2FC5" w14:textId="66BED3C1" w:rsidR="005301DF" w:rsidRPr="007721B6" w:rsidRDefault="005301DF" w:rsidP="005301DF">
            <w:pPr>
              <w:pStyle w:val="Bezodstpw"/>
              <w:rPr>
                <w:rFonts w:cs="Arial"/>
                <w:i/>
                <w:sz w:val="19"/>
                <w:szCs w:val="19"/>
                <w:lang w:val="pl-PL"/>
              </w:rPr>
            </w:pPr>
            <w:r w:rsidRPr="007721B6">
              <w:rPr>
                <w:rFonts w:cs="Arial"/>
                <w:i/>
                <w:sz w:val="19"/>
                <w:szCs w:val="19"/>
                <w:lang w:val="pl-PL"/>
              </w:rPr>
              <w:t>zastosowanie jedynie do określonej części teryt</w:t>
            </w:r>
            <w:r w:rsidRPr="007721B6">
              <w:rPr>
                <w:rFonts w:cs="Arial"/>
                <w:i/>
                <w:sz w:val="19"/>
                <w:szCs w:val="19"/>
                <w:lang w:val="pl-PL"/>
              </w:rPr>
              <w:t>o</w:t>
            </w:r>
            <w:r w:rsidRPr="007721B6">
              <w:rPr>
                <w:rFonts w:cs="Arial"/>
                <w:i/>
                <w:sz w:val="19"/>
                <w:szCs w:val="19"/>
                <w:lang w:val="pl-PL"/>
              </w:rPr>
              <w:t>rium (regionalnej lub lokalnej) państwa członko</w:t>
            </w:r>
            <w:r w:rsidRPr="007721B6">
              <w:rPr>
                <w:rFonts w:cs="Arial"/>
                <w:i/>
                <w:sz w:val="19"/>
                <w:szCs w:val="19"/>
                <w:lang w:val="pl-PL"/>
              </w:rPr>
              <w:t>w</w:t>
            </w:r>
            <w:r w:rsidRPr="007721B6">
              <w:rPr>
                <w:rFonts w:cs="Arial"/>
                <w:i/>
                <w:sz w:val="19"/>
                <w:szCs w:val="19"/>
                <w:lang w:val="pl-PL"/>
              </w:rPr>
              <w:t>skiego.</w:t>
            </w:r>
          </w:p>
          <w:p w14:paraId="25189068" w14:textId="286190DD" w:rsidR="005C7753" w:rsidRPr="007721B6" w:rsidRDefault="005301DF" w:rsidP="005301DF">
            <w:pPr>
              <w:pStyle w:val="Bezodstpw"/>
              <w:rPr>
                <w:rFonts w:cs="Arial"/>
                <w:b/>
                <w:lang w:val="pl-PL"/>
              </w:rPr>
            </w:pPr>
            <w:r w:rsidRPr="007721B6">
              <w:rPr>
                <w:rFonts w:cs="Arial"/>
                <w:i/>
                <w:sz w:val="19"/>
                <w:szCs w:val="19"/>
                <w:lang w:val="pl-PL"/>
              </w:rPr>
              <w:t>Selektywność nie występuje, jeżeli środek wspa</w:t>
            </w:r>
            <w:r w:rsidRPr="007721B6">
              <w:rPr>
                <w:rFonts w:cs="Arial"/>
                <w:i/>
                <w:sz w:val="19"/>
                <w:szCs w:val="19"/>
                <w:lang w:val="pl-PL"/>
              </w:rPr>
              <w:t>r</w:t>
            </w:r>
            <w:r w:rsidRPr="007721B6">
              <w:rPr>
                <w:rFonts w:cs="Arial"/>
                <w:i/>
                <w:sz w:val="19"/>
                <w:szCs w:val="19"/>
                <w:lang w:val="pl-PL"/>
              </w:rPr>
              <w:t>cia jest tzw. "środkiem o charakterze ogólnym".</w:t>
            </w:r>
          </w:p>
        </w:tc>
        <w:tc>
          <w:tcPr>
            <w:tcW w:w="692" w:type="dxa"/>
            <w:shd w:val="clear" w:color="auto" w:fill="auto"/>
          </w:tcPr>
          <w:p w14:paraId="3A689968"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59D20A63"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69E56F79" w14:textId="7A3B2249"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D672D9" w14:paraId="4CE10A23" w14:textId="77777777" w:rsidTr="008E1FA7">
        <w:trPr>
          <w:gridAfter w:val="1"/>
          <w:wAfter w:w="23" w:type="dxa"/>
        </w:trPr>
        <w:tc>
          <w:tcPr>
            <w:tcW w:w="4531" w:type="dxa"/>
            <w:shd w:val="clear" w:color="auto" w:fill="DDD9C3" w:themeFill="background2" w:themeFillShade="E6"/>
          </w:tcPr>
          <w:p w14:paraId="486225CE" w14:textId="12CFE85C"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zakłóca konkurencję lub grozi jej zakłóceniem?</w:t>
            </w:r>
          </w:p>
          <w:p w14:paraId="3BE8732D" w14:textId="77777777" w:rsidR="005C7753" w:rsidRPr="00BD2925" w:rsidRDefault="005C7753" w:rsidP="005C7753">
            <w:pPr>
              <w:pStyle w:val="Bezodstpw"/>
              <w:rPr>
                <w:rFonts w:cs="Arial"/>
                <w:i/>
                <w:sz w:val="19"/>
                <w:szCs w:val="19"/>
                <w:lang w:val="pl-PL"/>
              </w:rPr>
            </w:pPr>
          </w:p>
          <w:p w14:paraId="5F975837"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 (por. też punkt 6.1 i 6.2 „Zawiadomi</w:t>
            </w:r>
            <w:r w:rsidRPr="00BD2925">
              <w:rPr>
                <w:rFonts w:cs="Arial"/>
                <w:i/>
                <w:sz w:val="19"/>
                <w:szCs w:val="19"/>
                <w:lang w:val="pl-PL"/>
              </w:rPr>
              <w:t>e</w:t>
            </w:r>
            <w:r w:rsidRPr="00BD2925">
              <w:rPr>
                <w:rFonts w:cs="Arial"/>
                <w:i/>
                <w:sz w:val="19"/>
                <w:szCs w:val="19"/>
                <w:lang w:val="pl-PL"/>
              </w:rPr>
              <w:t>nia Komisji w sprawie pomocy publicznej”):</w:t>
            </w:r>
          </w:p>
          <w:p w14:paraId="4C203223" w14:textId="77777777" w:rsidR="005C7753" w:rsidRPr="00BD2925" w:rsidRDefault="005C7753" w:rsidP="005C7753">
            <w:pPr>
              <w:pStyle w:val="Bezodstpw"/>
              <w:rPr>
                <w:rFonts w:cs="Arial"/>
                <w:i/>
                <w:sz w:val="19"/>
                <w:szCs w:val="19"/>
                <w:lang w:val="pl-PL"/>
              </w:rPr>
            </w:pPr>
          </w:p>
          <w:p w14:paraId="0A3041B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Uznaje się, że środek przyznany przez państwo zakłóca lub grozi zakłóceniem konkurencji, jeżeli może on powodować poprawę pozycji konkure</w:t>
            </w:r>
            <w:r w:rsidRPr="00BD2925">
              <w:rPr>
                <w:rFonts w:cs="Arial"/>
                <w:i/>
                <w:sz w:val="19"/>
                <w:szCs w:val="19"/>
                <w:lang w:val="pl-PL"/>
              </w:rPr>
              <w:t>n</w:t>
            </w:r>
            <w:r w:rsidRPr="00BD2925">
              <w:rPr>
                <w:rFonts w:cs="Arial"/>
                <w:i/>
                <w:sz w:val="19"/>
                <w:szCs w:val="19"/>
                <w:lang w:val="pl-PL"/>
              </w:rPr>
              <w:t>cyjnej beneficjenta w porównaniu z pozycją innych przedsiębiorstw, z którymi beneficjent konkuruje.</w:t>
            </w:r>
          </w:p>
          <w:p w14:paraId="785674AD" w14:textId="77777777" w:rsidR="005C7753" w:rsidRPr="00BD2925" w:rsidRDefault="005C7753" w:rsidP="005C7753">
            <w:pPr>
              <w:pStyle w:val="Bezodstpw"/>
              <w:rPr>
                <w:rFonts w:cs="Arial"/>
                <w:i/>
                <w:sz w:val="19"/>
                <w:szCs w:val="19"/>
                <w:lang w:val="pl-PL"/>
              </w:rPr>
            </w:pPr>
          </w:p>
          <w:p w14:paraId="56FF7FA8" w14:textId="5F607C68" w:rsidR="005C7753" w:rsidRPr="00BD2925" w:rsidRDefault="005C7753" w:rsidP="005C7753">
            <w:pPr>
              <w:pStyle w:val="Bezodstpw"/>
              <w:rPr>
                <w:rFonts w:cs="Arial"/>
                <w:i/>
                <w:sz w:val="19"/>
                <w:szCs w:val="19"/>
                <w:lang w:val="pl-PL"/>
              </w:rPr>
            </w:pPr>
            <w:r w:rsidRPr="00BD2925">
              <w:rPr>
                <w:rFonts w:cs="Arial"/>
                <w:i/>
                <w:sz w:val="19"/>
                <w:szCs w:val="19"/>
                <w:lang w:val="pl-PL"/>
              </w:rPr>
              <w:t>Definicja pomocy państwa nie zawiera wymogu, aby zakłócenie konkurencji lub wpływ na handel były znaczące lub istotne. Niewielka kwota pomocy lub fakt, że przedsiębiorstwo będące beneficjentem jest małe, nie wykluczają same w sobie zakłócenia konkurencji lub groźby jej zakłócenia, pod waru</w:t>
            </w:r>
            <w:r w:rsidRPr="00BD2925">
              <w:rPr>
                <w:rFonts w:cs="Arial"/>
                <w:i/>
                <w:sz w:val="19"/>
                <w:szCs w:val="19"/>
                <w:lang w:val="pl-PL"/>
              </w:rPr>
              <w:t>n</w:t>
            </w:r>
            <w:r w:rsidRPr="00BD2925">
              <w:rPr>
                <w:rFonts w:cs="Arial"/>
                <w:i/>
                <w:sz w:val="19"/>
                <w:szCs w:val="19"/>
                <w:lang w:val="pl-PL"/>
              </w:rPr>
              <w:t>kiem, że prawdopodobieństwo takiego zakłócenia nie jest jedynie hipotetyczne.</w:t>
            </w:r>
          </w:p>
        </w:tc>
        <w:tc>
          <w:tcPr>
            <w:tcW w:w="692" w:type="dxa"/>
            <w:shd w:val="clear" w:color="auto" w:fill="auto"/>
          </w:tcPr>
          <w:p w14:paraId="22D12B5F" w14:textId="77777777" w:rsidR="005C7753" w:rsidRPr="00BD2925" w:rsidRDefault="005C7753" w:rsidP="005C7753">
            <w:pPr>
              <w:pStyle w:val="Bezodstpw"/>
              <w:ind w:left="142"/>
              <w:rPr>
                <w:rFonts w:cs="Arial"/>
                <w:b/>
                <w:lang w:val="pl-PL"/>
              </w:rPr>
            </w:pPr>
          </w:p>
        </w:tc>
        <w:tc>
          <w:tcPr>
            <w:tcW w:w="633" w:type="dxa"/>
            <w:shd w:val="clear" w:color="auto" w:fill="auto"/>
          </w:tcPr>
          <w:p w14:paraId="4D799F19" w14:textId="77777777" w:rsidR="005C7753" w:rsidRPr="00BD2925" w:rsidRDefault="005C7753" w:rsidP="005C7753">
            <w:pPr>
              <w:pStyle w:val="Bezodstpw"/>
              <w:ind w:left="66"/>
              <w:rPr>
                <w:rFonts w:cs="Arial"/>
                <w:b/>
                <w:lang w:val="pl-PL"/>
              </w:rPr>
            </w:pPr>
          </w:p>
        </w:tc>
        <w:tc>
          <w:tcPr>
            <w:tcW w:w="3183" w:type="dxa"/>
            <w:shd w:val="clear" w:color="auto" w:fill="auto"/>
          </w:tcPr>
          <w:p w14:paraId="4DD955C7" w14:textId="77777777" w:rsidR="005C7753" w:rsidRPr="00BD2925" w:rsidRDefault="005C7753" w:rsidP="005C7753">
            <w:pPr>
              <w:pStyle w:val="Bezodstpw"/>
              <w:rPr>
                <w:rFonts w:cs="Arial"/>
                <w:i/>
                <w:sz w:val="19"/>
                <w:szCs w:val="19"/>
                <w:lang w:val="pl-PL"/>
              </w:rPr>
            </w:pPr>
          </w:p>
          <w:p w14:paraId="25BC8903"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Jeżeli „Nie“: proszę uzasadnić ocenę</w:t>
            </w:r>
          </w:p>
        </w:tc>
      </w:tr>
      <w:tr w:rsidR="005C7753" w:rsidRPr="00D672D9" w14:paraId="38DA9DC9" w14:textId="77777777" w:rsidTr="008E1FA7">
        <w:trPr>
          <w:gridAfter w:val="1"/>
          <w:wAfter w:w="23" w:type="dxa"/>
        </w:trPr>
        <w:tc>
          <w:tcPr>
            <w:tcW w:w="4531" w:type="dxa"/>
            <w:shd w:val="clear" w:color="auto" w:fill="DDD9C3" w:themeFill="background2" w:themeFillShade="E6"/>
          </w:tcPr>
          <w:p w14:paraId="704EB694" w14:textId="77777777"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wpływa na wymianę handlową między państwami członkowskimi Unii Europejskiej?</w:t>
            </w:r>
          </w:p>
          <w:p w14:paraId="16BF521D" w14:textId="77777777" w:rsidR="005C7753" w:rsidRPr="00BD2925" w:rsidRDefault="005C7753" w:rsidP="005C7753">
            <w:pPr>
              <w:pStyle w:val="Bezodstpw"/>
              <w:rPr>
                <w:rFonts w:cs="Arial"/>
                <w:i/>
                <w:lang w:val="pl-PL"/>
              </w:rPr>
            </w:pPr>
          </w:p>
          <w:p w14:paraId="44BDF03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Wskazówki)por. Też punkt 6.1 i 6.3 „Zawiadomi</w:t>
            </w:r>
            <w:r w:rsidRPr="00BD2925">
              <w:rPr>
                <w:rFonts w:cs="Arial"/>
                <w:i/>
                <w:sz w:val="19"/>
                <w:szCs w:val="19"/>
                <w:lang w:val="pl-PL"/>
              </w:rPr>
              <w:t>e</w:t>
            </w:r>
            <w:r w:rsidRPr="00BD2925">
              <w:rPr>
                <w:rFonts w:cs="Arial"/>
                <w:i/>
                <w:sz w:val="19"/>
                <w:szCs w:val="19"/>
                <w:lang w:val="pl-PL"/>
              </w:rPr>
              <w:t>nia Komisji w sprawie pomocy publicznej”):</w:t>
            </w:r>
          </w:p>
          <w:p w14:paraId="45B6157F" w14:textId="77777777" w:rsidR="005C7753" w:rsidRPr="00BD2925" w:rsidRDefault="005C7753" w:rsidP="005C7753">
            <w:pPr>
              <w:pStyle w:val="Bezodstpw"/>
              <w:rPr>
                <w:rFonts w:cs="Arial"/>
                <w:i/>
                <w:sz w:val="19"/>
                <w:szCs w:val="19"/>
                <w:lang w:val="pl-PL"/>
              </w:rPr>
            </w:pPr>
          </w:p>
          <w:p w14:paraId="756391F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 tym względzie nie jest konieczne ustalenie, czy pomoc ma faktyczny wpływ na wymianę handlową między państwami członkowskimi, lecz tylko, czy może wpłynąć na taką wymianę.</w:t>
            </w:r>
          </w:p>
          <w:p w14:paraId="07E368A1" w14:textId="77777777" w:rsidR="005C7753" w:rsidRPr="00BD2925" w:rsidRDefault="005C7753" w:rsidP="005C7753">
            <w:pPr>
              <w:pStyle w:val="Bezodstpw"/>
              <w:rPr>
                <w:rFonts w:cs="Arial"/>
                <w:i/>
                <w:sz w:val="19"/>
                <w:szCs w:val="19"/>
                <w:lang w:val="pl-PL"/>
              </w:rPr>
            </w:pPr>
          </w:p>
          <w:p w14:paraId="3A31AF72"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Stosunkowo niewielka kwota pomocy lub stosu</w:t>
            </w:r>
            <w:r w:rsidRPr="00BD2925">
              <w:rPr>
                <w:rFonts w:cs="Arial"/>
                <w:i/>
                <w:sz w:val="19"/>
                <w:szCs w:val="19"/>
                <w:lang w:val="pl-PL"/>
              </w:rPr>
              <w:t>n</w:t>
            </w:r>
            <w:r w:rsidRPr="00BD2925">
              <w:rPr>
                <w:rFonts w:cs="Arial"/>
                <w:i/>
                <w:sz w:val="19"/>
                <w:szCs w:val="19"/>
                <w:lang w:val="pl-PL"/>
              </w:rPr>
              <w:t xml:space="preserve">kowo nieduży rozmiar przedsiębiorstwa, które ją otrzymuje, jako takie nie wykluczają możliwości wpływu na wymianę handlową między państwami członkowskimi </w:t>
            </w:r>
          </w:p>
          <w:p w14:paraId="1F2482C8" w14:textId="77777777" w:rsidR="005C7753" w:rsidRPr="00BD2925" w:rsidRDefault="005C7753" w:rsidP="005C7753">
            <w:pPr>
              <w:pStyle w:val="Bezodstpw"/>
              <w:rPr>
                <w:rFonts w:cs="Arial"/>
                <w:i/>
                <w:sz w:val="19"/>
                <w:szCs w:val="19"/>
                <w:lang w:val="pl-PL"/>
              </w:rPr>
            </w:pPr>
          </w:p>
          <w:p w14:paraId="56B9E861"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Wpływ na wymianę handlową między państwami członkowskimi nie może być jednak tylko hipot</w:t>
            </w:r>
            <w:r w:rsidRPr="00BD2925">
              <w:rPr>
                <w:rFonts w:cs="Arial"/>
                <w:i/>
                <w:sz w:val="19"/>
                <w:szCs w:val="19"/>
                <w:lang w:val="pl-PL"/>
              </w:rPr>
              <w:t>e</w:t>
            </w:r>
            <w:r w:rsidRPr="00BD2925">
              <w:rPr>
                <w:rFonts w:cs="Arial"/>
                <w:i/>
                <w:sz w:val="19"/>
                <w:szCs w:val="19"/>
                <w:lang w:val="pl-PL"/>
              </w:rPr>
              <w:lastRenderedPageBreak/>
              <w:t>tyczny lub domniemany. Należy ustalić, na po</w:t>
            </w:r>
            <w:r w:rsidRPr="00BD2925">
              <w:rPr>
                <w:rFonts w:cs="Arial"/>
                <w:i/>
                <w:sz w:val="19"/>
                <w:szCs w:val="19"/>
                <w:lang w:val="pl-PL"/>
              </w:rPr>
              <w:t>d</w:t>
            </w:r>
            <w:r w:rsidRPr="00BD2925">
              <w:rPr>
                <w:rFonts w:cs="Arial"/>
                <w:i/>
                <w:sz w:val="19"/>
                <w:szCs w:val="19"/>
                <w:lang w:val="pl-PL"/>
              </w:rPr>
              <w:t>stawie przewidywalnych skutków, dlaczego środek zakłóca konkurencję lub grozi jej zakłóceniem i może mieć wpływ na wymianę handlową między państwami członkowskimi.</w:t>
            </w:r>
          </w:p>
          <w:p w14:paraId="3514B42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Komisja w wielu decyzjach uznała, w świetle okr</w:t>
            </w:r>
            <w:r w:rsidRPr="00BD2925">
              <w:rPr>
                <w:rFonts w:cs="Arial"/>
                <w:i/>
                <w:sz w:val="19"/>
                <w:szCs w:val="19"/>
                <w:lang w:val="pl-PL"/>
              </w:rPr>
              <w:t>e</w:t>
            </w:r>
            <w:r w:rsidRPr="00BD2925">
              <w:rPr>
                <w:rFonts w:cs="Arial"/>
                <w:i/>
                <w:sz w:val="19"/>
                <w:szCs w:val="19"/>
                <w:lang w:val="pl-PL"/>
              </w:rPr>
              <w:t>ślonych okoliczności sprawy, że środek miał w</w:t>
            </w:r>
            <w:r w:rsidRPr="00BD2925">
              <w:rPr>
                <w:rFonts w:cs="Arial"/>
                <w:i/>
                <w:sz w:val="19"/>
                <w:szCs w:val="19"/>
                <w:lang w:val="pl-PL"/>
              </w:rPr>
              <w:t>y</w:t>
            </w:r>
            <w:r w:rsidRPr="00BD2925">
              <w:rPr>
                <w:rFonts w:cs="Arial"/>
                <w:i/>
                <w:sz w:val="19"/>
                <w:szCs w:val="19"/>
                <w:lang w:val="pl-PL"/>
              </w:rPr>
              <w:t>łącznie lokalny wpływ i w związku z tym nie wpł</w:t>
            </w:r>
            <w:r w:rsidRPr="00BD2925">
              <w:rPr>
                <w:rFonts w:cs="Arial"/>
                <w:i/>
                <w:sz w:val="19"/>
                <w:szCs w:val="19"/>
                <w:lang w:val="pl-PL"/>
              </w:rPr>
              <w:t>y</w:t>
            </w:r>
            <w:r w:rsidRPr="00BD2925">
              <w:rPr>
                <w:rFonts w:cs="Arial"/>
                <w:i/>
                <w:sz w:val="19"/>
                <w:szCs w:val="19"/>
                <w:lang w:val="pl-PL"/>
              </w:rPr>
              <w:t>wał na wymianę handlową między państwami członkowskimi</w:t>
            </w:r>
          </w:p>
          <w:p w14:paraId="764FC049" w14:textId="77777777" w:rsidR="005C7753" w:rsidRPr="00BD2925" w:rsidRDefault="005C7753" w:rsidP="005C7753">
            <w:pPr>
              <w:pStyle w:val="Bezodstpw"/>
              <w:rPr>
                <w:rFonts w:cs="Arial"/>
                <w:i/>
                <w:sz w:val="19"/>
                <w:szCs w:val="19"/>
                <w:lang w:val="pl-PL"/>
              </w:rPr>
            </w:pPr>
          </w:p>
          <w:p w14:paraId="6C90B058"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Ze względu na bliskość granicy w przypadku m</w:t>
            </w:r>
            <w:r w:rsidRPr="00BD2925">
              <w:rPr>
                <w:rFonts w:cs="Arial"/>
                <w:i/>
                <w:sz w:val="19"/>
                <w:szCs w:val="19"/>
                <w:lang w:val="pl-PL"/>
              </w:rPr>
              <w:t>a</w:t>
            </w:r>
            <w:r w:rsidRPr="00BD2925">
              <w:rPr>
                <w:rFonts w:cs="Arial"/>
                <w:i/>
                <w:sz w:val="19"/>
                <w:szCs w:val="19"/>
                <w:lang w:val="pl-PL"/>
              </w:rPr>
              <w:t>łych projektów zasady stosowane przez Komisję mogą nie mieć zastosowania bądź brak zakłócenia konkurencyjności należy dobrze uzasadnić.</w:t>
            </w:r>
          </w:p>
          <w:p w14:paraId="05CA1BAE" w14:textId="77777777" w:rsidR="005C7753" w:rsidRPr="00BD2925" w:rsidRDefault="005C7753" w:rsidP="005C7753">
            <w:pPr>
              <w:pStyle w:val="Bezodstpw"/>
              <w:rPr>
                <w:rFonts w:cs="Arial"/>
                <w:i/>
                <w:sz w:val="19"/>
                <w:szCs w:val="19"/>
                <w:lang w:val="pl-PL"/>
              </w:rPr>
            </w:pPr>
          </w:p>
          <w:p w14:paraId="3594917E" w14:textId="77777777" w:rsidR="005C7753" w:rsidRPr="00BD2925" w:rsidRDefault="005C7753" w:rsidP="005C7753">
            <w:pPr>
              <w:pStyle w:val="Bezodstpw"/>
              <w:rPr>
                <w:rFonts w:cs="Arial"/>
                <w:b/>
                <w:lang w:val="pl-PL"/>
              </w:rPr>
            </w:pPr>
          </w:p>
        </w:tc>
        <w:tc>
          <w:tcPr>
            <w:tcW w:w="692" w:type="dxa"/>
            <w:shd w:val="clear" w:color="auto" w:fill="auto"/>
          </w:tcPr>
          <w:p w14:paraId="1F9E59DB" w14:textId="77777777" w:rsidR="005C7753" w:rsidRPr="00BD2925" w:rsidRDefault="005C7753" w:rsidP="005C7753">
            <w:pPr>
              <w:pStyle w:val="Bezodstpw"/>
              <w:ind w:left="142"/>
              <w:rPr>
                <w:rFonts w:cs="Arial"/>
                <w:b/>
                <w:lang w:val="pl-PL"/>
              </w:rPr>
            </w:pPr>
          </w:p>
        </w:tc>
        <w:tc>
          <w:tcPr>
            <w:tcW w:w="633" w:type="dxa"/>
            <w:shd w:val="clear" w:color="auto" w:fill="auto"/>
          </w:tcPr>
          <w:p w14:paraId="18E9DA30" w14:textId="77777777" w:rsidR="005C7753" w:rsidRPr="00BD2925" w:rsidRDefault="005C7753" w:rsidP="005C7753">
            <w:pPr>
              <w:pStyle w:val="Bezodstpw"/>
              <w:ind w:left="66"/>
              <w:rPr>
                <w:rFonts w:cs="Arial"/>
                <w:b/>
                <w:lang w:val="pl-PL"/>
              </w:rPr>
            </w:pPr>
          </w:p>
        </w:tc>
        <w:tc>
          <w:tcPr>
            <w:tcW w:w="3183" w:type="dxa"/>
            <w:shd w:val="clear" w:color="auto" w:fill="auto"/>
          </w:tcPr>
          <w:p w14:paraId="41AD36B9" w14:textId="77777777" w:rsidR="005C7753" w:rsidRPr="00227879" w:rsidRDefault="005C7753" w:rsidP="00227879">
            <w:pPr>
              <w:pStyle w:val="Bezodstpw"/>
              <w:rPr>
                <w:rFonts w:cs="Arial"/>
                <w:i/>
                <w:sz w:val="19"/>
                <w:szCs w:val="19"/>
                <w:lang w:val="pl-PL"/>
              </w:rPr>
            </w:pPr>
          </w:p>
          <w:p w14:paraId="2D19262F" w14:textId="77777777" w:rsidR="005C7753" w:rsidRPr="00BD2925" w:rsidRDefault="005C7753" w:rsidP="005C7753">
            <w:pPr>
              <w:pStyle w:val="Bezodstpw"/>
              <w:ind w:left="66"/>
              <w:rPr>
                <w:rFonts w:cs="Arial"/>
                <w:b/>
                <w:sz w:val="19"/>
                <w:szCs w:val="19"/>
                <w:lang w:val="pl-PL"/>
              </w:rPr>
            </w:pPr>
            <w:r w:rsidRPr="00BD2925">
              <w:rPr>
                <w:rFonts w:cs="Arial"/>
                <w:i/>
                <w:sz w:val="19"/>
                <w:szCs w:val="19"/>
                <w:lang w:val="pl-PL"/>
              </w:rPr>
              <w:t>Jeżeli „Nie“: proszę uzasadnić ocenę</w:t>
            </w:r>
          </w:p>
        </w:tc>
      </w:tr>
      <w:tr w:rsidR="005C7753" w:rsidRPr="00D672D9" w14:paraId="7E078374" w14:textId="77777777" w:rsidTr="008E1FA7">
        <w:trPr>
          <w:gridAfter w:val="1"/>
          <w:wAfter w:w="23" w:type="dxa"/>
          <w:trHeight w:val="1304"/>
        </w:trPr>
        <w:tc>
          <w:tcPr>
            <w:tcW w:w="4531" w:type="dxa"/>
            <w:shd w:val="clear" w:color="auto" w:fill="A6A6A6" w:themeFill="background1" w:themeFillShade="A6"/>
          </w:tcPr>
          <w:p w14:paraId="39238FFD" w14:textId="77777777" w:rsidR="005C7753" w:rsidRPr="0012375C" w:rsidRDefault="005C7753" w:rsidP="005C7753">
            <w:pPr>
              <w:pStyle w:val="Bezodstpw"/>
              <w:rPr>
                <w:rFonts w:ascii="Arial Narrow" w:hAnsi="Arial Narrow"/>
                <w:b/>
                <w:lang w:val="pl-PL"/>
              </w:rPr>
            </w:pPr>
          </w:p>
          <w:p w14:paraId="2457BC99" w14:textId="77777777" w:rsidR="005C7753" w:rsidRPr="0073373F" w:rsidRDefault="005C7753" w:rsidP="005C7753">
            <w:pPr>
              <w:pStyle w:val="Bezodstpw"/>
              <w:rPr>
                <w:rFonts w:cs="Arial"/>
                <w:b/>
                <w:lang w:val="pl-PL"/>
              </w:rPr>
            </w:pPr>
            <w:r w:rsidRPr="0073373F">
              <w:rPr>
                <w:rFonts w:cs="Arial"/>
                <w:b/>
                <w:lang w:val="pl-PL"/>
              </w:rPr>
              <w:t>WYNIK części A:</w:t>
            </w:r>
          </w:p>
          <w:p w14:paraId="5D574E28" w14:textId="4582EE46" w:rsidR="005C7753" w:rsidRPr="0012375C" w:rsidRDefault="005C7753" w:rsidP="005C7753">
            <w:pPr>
              <w:pStyle w:val="Bezodstpw"/>
              <w:rPr>
                <w:rFonts w:ascii="Arial Narrow" w:hAnsi="Arial Narrow"/>
                <w:b/>
                <w:lang w:val="pl-PL"/>
              </w:rPr>
            </w:pPr>
            <w:r w:rsidRPr="0073373F">
              <w:rPr>
                <w:rFonts w:cs="Arial"/>
                <w:b/>
                <w:lang w:val="pl-PL"/>
              </w:rPr>
              <w:t>Wsparcie stanowi pomoc publiczną w rozumieniu art. 107 TFUE</w:t>
            </w:r>
          </w:p>
        </w:tc>
        <w:tc>
          <w:tcPr>
            <w:tcW w:w="692" w:type="dxa"/>
            <w:shd w:val="clear" w:color="auto" w:fill="auto"/>
          </w:tcPr>
          <w:p w14:paraId="795E3749" w14:textId="77777777" w:rsidR="005C7753" w:rsidRPr="0012375C" w:rsidRDefault="005C7753" w:rsidP="005C7753">
            <w:pPr>
              <w:pStyle w:val="Bezodstpw"/>
              <w:ind w:left="142"/>
              <w:rPr>
                <w:rFonts w:cs="Arial"/>
                <w:b/>
                <w:lang w:val="pl-PL"/>
              </w:rPr>
            </w:pPr>
          </w:p>
        </w:tc>
        <w:tc>
          <w:tcPr>
            <w:tcW w:w="633" w:type="dxa"/>
            <w:shd w:val="clear" w:color="auto" w:fill="auto"/>
          </w:tcPr>
          <w:p w14:paraId="2E7BD4CC" w14:textId="77777777" w:rsidR="005C7753" w:rsidRPr="0012375C" w:rsidRDefault="005C7753" w:rsidP="005C7753">
            <w:pPr>
              <w:pStyle w:val="Bezodstpw"/>
              <w:ind w:left="66"/>
              <w:rPr>
                <w:rFonts w:cs="Arial"/>
                <w:b/>
                <w:lang w:val="pl-PL"/>
              </w:rPr>
            </w:pPr>
          </w:p>
        </w:tc>
        <w:tc>
          <w:tcPr>
            <w:tcW w:w="3183" w:type="dxa"/>
            <w:shd w:val="clear" w:color="auto" w:fill="auto"/>
          </w:tcPr>
          <w:p w14:paraId="5566D52B" w14:textId="77777777" w:rsidR="005C7753" w:rsidRPr="0012375C" w:rsidRDefault="005C7753" w:rsidP="005C7753">
            <w:pPr>
              <w:pStyle w:val="Default"/>
              <w:jc w:val="both"/>
              <w:rPr>
                <w:rFonts w:ascii="Arial Narrow" w:hAnsi="Arial Narrow"/>
                <w:i/>
                <w:color w:val="auto"/>
                <w:sz w:val="19"/>
                <w:szCs w:val="19"/>
                <w:lang w:val="pl-PL"/>
              </w:rPr>
            </w:pPr>
          </w:p>
          <w:p w14:paraId="650CC2F0" w14:textId="77777777" w:rsidR="005C7753" w:rsidRPr="0012375C" w:rsidRDefault="005C7753" w:rsidP="005C7753">
            <w:pPr>
              <w:pStyle w:val="Default"/>
              <w:jc w:val="both"/>
              <w:rPr>
                <w:rFonts w:ascii="Arial Narrow" w:hAnsi="Arial Narrow"/>
                <w:i/>
                <w:color w:val="auto"/>
                <w:sz w:val="19"/>
                <w:szCs w:val="19"/>
                <w:lang w:val="pl-PL"/>
              </w:rPr>
            </w:pPr>
            <w:r w:rsidRPr="0012375C">
              <w:rPr>
                <w:rFonts w:ascii="Arial Narrow" w:hAnsi="Arial Narrow"/>
                <w:i/>
                <w:color w:val="auto"/>
                <w:sz w:val="19"/>
                <w:szCs w:val="19"/>
                <w:lang w:val="pl-PL"/>
              </w:rPr>
              <w:t>Jeżeli „tak“: dalej w części B</w:t>
            </w:r>
          </w:p>
          <w:p w14:paraId="359F55BE" w14:textId="77777777" w:rsidR="005C7753" w:rsidRPr="0012375C" w:rsidRDefault="005C7753" w:rsidP="005C7753">
            <w:pPr>
              <w:pStyle w:val="Default"/>
              <w:jc w:val="both"/>
              <w:rPr>
                <w:rFonts w:ascii="Arial Narrow" w:hAnsi="Arial Narrow"/>
                <w:i/>
                <w:color w:val="auto"/>
                <w:sz w:val="19"/>
                <w:szCs w:val="19"/>
                <w:lang w:val="pl-PL"/>
              </w:rPr>
            </w:pPr>
          </w:p>
          <w:p w14:paraId="3CA92AB9" w14:textId="77777777" w:rsidR="005C7753" w:rsidRPr="0012375C" w:rsidRDefault="005C7753" w:rsidP="005C7753">
            <w:pPr>
              <w:pStyle w:val="Default"/>
              <w:jc w:val="both"/>
              <w:rPr>
                <w:rFonts w:ascii="Arial Narrow" w:hAnsi="Arial Narrow"/>
                <w:i/>
                <w:color w:val="auto"/>
                <w:sz w:val="19"/>
                <w:szCs w:val="19"/>
                <w:lang w:val="pl-PL"/>
              </w:rPr>
            </w:pPr>
          </w:p>
          <w:p w14:paraId="40D8C6BC" w14:textId="77777777" w:rsidR="005C7753" w:rsidRPr="0012375C" w:rsidRDefault="005C7753" w:rsidP="005C7753">
            <w:pPr>
              <w:pStyle w:val="Default"/>
              <w:jc w:val="both"/>
              <w:rPr>
                <w:rFonts w:ascii="Arial Narrow" w:hAnsi="Arial Narrow"/>
                <w:i/>
                <w:color w:val="auto"/>
                <w:sz w:val="19"/>
                <w:szCs w:val="19"/>
                <w:lang w:val="pl-PL"/>
              </w:rPr>
            </w:pPr>
          </w:p>
          <w:p w14:paraId="5F9F5187" w14:textId="77777777" w:rsidR="005C7753" w:rsidRPr="00227879" w:rsidDel="00D6056F" w:rsidRDefault="005C7753" w:rsidP="005C7753">
            <w:pPr>
              <w:pStyle w:val="Bezodstpw"/>
              <w:rPr>
                <w:rFonts w:cs="Arial"/>
                <w:i/>
                <w:sz w:val="19"/>
                <w:szCs w:val="19"/>
                <w:lang w:val="pl-PL"/>
              </w:rPr>
            </w:pPr>
          </w:p>
        </w:tc>
      </w:tr>
      <w:tr w:rsidR="005C7753" w:rsidRPr="0012375C" w14:paraId="69585570" w14:textId="77777777" w:rsidTr="008E1FA7">
        <w:trPr>
          <w:gridAfter w:val="1"/>
          <w:wAfter w:w="23" w:type="dxa"/>
        </w:trPr>
        <w:tc>
          <w:tcPr>
            <w:tcW w:w="4531" w:type="dxa"/>
            <w:shd w:val="clear" w:color="auto" w:fill="A6A6A6" w:themeFill="background1" w:themeFillShade="A6"/>
          </w:tcPr>
          <w:p w14:paraId="7DEF47AD" w14:textId="6E4BEC99" w:rsidR="005C7753" w:rsidRPr="0012375C" w:rsidRDefault="005C7753" w:rsidP="005C7753">
            <w:pPr>
              <w:pStyle w:val="Bezodstpw"/>
              <w:rPr>
                <w:rFonts w:cs="Arial"/>
                <w:b/>
                <w:lang w:val="pl-PL"/>
              </w:rPr>
            </w:pPr>
            <w:r w:rsidRPr="0012375C">
              <w:rPr>
                <w:rFonts w:cs="Arial"/>
                <w:b/>
                <w:lang w:val="pl-PL"/>
              </w:rPr>
              <w:t>Część B:</w:t>
            </w:r>
          </w:p>
        </w:tc>
        <w:tc>
          <w:tcPr>
            <w:tcW w:w="692" w:type="dxa"/>
            <w:shd w:val="clear" w:color="auto" w:fill="auto"/>
          </w:tcPr>
          <w:p w14:paraId="5F9DBC05" w14:textId="77777777" w:rsidR="005C7753" w:rsidRPr="0012375C" w:rsidRDefault="005C7753" w:rsidP="005C7753">
            <w:pPr>
              <w:spacing w:line="360" w:lineRule="auto"/>
              <w:jc w:val="both"/>
              <w:rPr>
                <w:rFonts w:cs="Arial"/>
                <w:sz w:val="22"/>
                <w:szCs w:val="22"/>
                <w:lang w:val="pl-PL"/>
              </w:rPr>
            </w:pPr>
          </w:p>
        </w:tc>
        <w:tc>
          <w:tcPr>
            <w:tcW w:w="633" w:type="dxa"/>
            <w:shd w:val="clear" w:color="auto" w:fill="auto"/>
          </w:tcPr>
          <w:p w14:paraId="4142F58A" w14:textId="77777777" w:rsidR="005C7753" w:rsidRPr="0012375C" w:rsidRDefault="005C7753" w:rsidP="005C7753">
            <w:pPr>
              <w:spacing w:line="360" w:lineRule="auto"/>
              <w:jc w:val="both"/>
              <w:rPr>
                <w:rFonts w:cs="Arial"/>
                <w:sz w:val="22"/>
                <w:szCs w:val="22"/>
                <w:lang w:val="pl-PL"/>
              </w:rPr>
            </w:pPr>
          </w:p>
        </w:tc>
        <w:tc>
          <w:tcPr>
            <w:tcW w:w="3183" w:type="dxa"/>
            <w:shd w:val="clear" w:color="auto" w:fill="auto"/>
          </w:tcPr>
          <w:p w14:paraId="0F59211F" w14:textId="77777777" w:rsidR="005C7753" w:rsidRPr="0012375C" w:rsidRDefault="005C7753" w:rsidP="005C7753">
            <w:pPr>
              <w:pStyle w:val="Default"/>
              <w:jc w:val="both"/>
              <w:rPr>
                <w:rFonts w:ascii="Arial" w:hAnsi="Arial" w:cs="Arial"/>
                <w:color w:val="auto"/>
                <w:sz w:val="19"/>
                <w:szCs w:val="19"/>
                <w:lang w:val="pl-PL"/>
              </w:rPr>
            </w:pPr>
          </w:p>
        </w:tc>
      </w:tr>
      <w:tr w:rsidR="005C7753" w:rsidRPr="00D672D9" w14:paraId="4F97D414" w14:textId="77777777" w:rsidTr="008E1FA7">
        <w:trPr>
          <w:gridAfter w:val="1"/>
          <w:wAfter w:w="23" w:type="dxa"/>
        </w:trPr>
        <w:tc>
          <w:tcPr>
            <w:tcW w:w="4531" w:type="dxa"/>
            <w:shd w:val="clear" w:color="auto" w:fill="DDD9C3" w:themeFill="background2" w:themeFillShade="E6"/>
          </w:tcPr>
          <w:p w14:paraId="3365BFB5" w14:textId="39FF010F" w:rsidR="005C7753" w:rsidRPr="0012375C" w:rsidRDefault="005C7753" w:rsidP="005C7753">
            <w:pPr>
              <w:pStyle w:val="Bezodstpw"/>
              <w:numPr>
                <w:ilvl w:val="0"/>
                <w:numId w:val="4"/>
              </w:numPr>
              <w:rPr>
                <w:rFonts w:cs="Arial"/>
                <w:b/>
                <w:bCs/>
                <w:iCs/>
                <w:sz w:val="22"/>
                <w:szCs w:val="22"/>
                <w:lang w:val="pl-PL"/>
              </w:rPr>
            </w:pPr>
            <w:r w:rsidRPr="0012375C">
              <w:rPr>
                <w:rFonts w:cs="Arial"/>
                <w:b/>
                <w:bCs/>
                <w:sz w:val="22"/>
                <w:szCs w:val="22"/>
                <w:lang w:val="pl-PL"/>
              </w:rPr>
              <w:t>Czy pomoc przyznana podmiotowi trzeciemu przekroczy 22.000 EUR?</w:t>
            </w:r>
          </w:p>
        </w:tc>
        <w:tc>
          <w:tcPr>
            <w:tcW w:w="692" w:type="dxa"/>
            <w:shd w:val="clear" w:color="auto" w:fill="auto"/>
          </w:tcPr>
          <w:p w14:paraId="61784F8E" w14:textId="03448FEF"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5F90DB64" w14:textId="5A3D787F"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E86AC96" w14:textId="13AFA829" w:rsidR="005C7753" w:rsidRPr="0012375C" w:rsidRDefault="005C7753" w:rsidP="005C7753">
            <w:pPr>
              <w:spacing w:line="360" w:lineRule="auto"/>
              <w:jc w:val="both"/>
              <w:rPr>
                <w:rFonts w:cs="Arial"/>
                <w:bCs/>
                <w:i/>
                <w:iCs/>
                <w:sz w:val="16"/>
                <w:szCs w:val="16"/>
                <w:lang w:val="pl-PL"/>
              </w:rPr>
            </w:pPr>
            <w:r w:rsidRPr="0012375C">
              <w:rPr>
                <w:rFonts w:cs="Arial"/>
                <w:bCs/>
                <w:i/>
                <w:iCs/>
                <w:sz w:val="16"/>
                <w:szCs w:val="16"/>
                <w:lang w:val="pl-PL"/>
              </w:rPr>
              <w:t>Jeśli tak, to należy wskazać kwotę.</w:t>
            </w:r>
          </w:p>
        </w:tc>
      </w:tr>
      <w:tr w:rsidR="005C7753" w:rsidRPr="00D672D9" w14:paraId="5C86D8DD" w14:textId="77777777" w:rsidTr="008E1FA7">
        <w:trPr>
          <w:gridAfter w:val="1"/>
          <w:wAfter w:w="23" w:type="dxa"/>
          <w:trHeight w:val="707"/>
        </w:trPr>
        <w:tc>
          <w:tcPr>
            <w:tcW w:w="4531" w:type="dxa"/>
            <w:shd w:val="clear" w:color="auto" w:fill="DDD9C3" w:themeFill="background2" w:themeFillShade="E6"/>
          </w:tcPr>
          <w:p w14:paraId="6B995D00" w14:textId="0E0C6482" w:rsidR="005C7753" w:rsidRPr="0012375C" w:rsidRDefault="005C7753" w:rsidP="005C7753">
            <w:pPr>
              <w:pStyle w:val="Bezodstpw"/>
              <w:rPr>
                <w:rFonts w:ascii="Arial Narrow" w:hAnsi="Arial Narrow"/>
                <w:sz w:val="22"/>
                <w:szCs w:val="22"/>
                <w:lang w:val="pl-PL"/>
              </w:rPr>
            </w:pPr>
            <w:r w:rsidRPr="0012375C">
              <w:rPr>
                <w:rFonts w:ascii="Arial Narrow" w:hAnsi="Arial Narrow"/>
                <w:sz w:val="22"/>
                <w:szCs w:val="22"/>
                <w:lang w:val="pl-PL"/>
              </w:rPr>
              <w:t>Wnioskowane wsparcie może zostać udzielone w pełnej wysokości</w:t>
            </w:r>
          </w:p>
        </w:tc>
        <w:tc>
          <w:tcPr>
            <w:tcW w:w="692" w:type="dxa"/>
            <w:shd w:val="clear" w:color="auto" w:fill="auto"/>
          </w:tcPr>
          <w:p w14:paraId="7591C1A2"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73BE4EC5"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66E0E38F" w14:textId="77777777" w:rsidR="005C7753" w:rsidRPr="0012375C" w:rsidRDefault="005C7753" w:rsidP="005C7753">
            <w:pPr>
              <w:spacing w:line="360" w:lineRule="auto"/>
              <w:jc w:val="both"/>
              <w:rPr>
                <w:rFonts w:cs="Arial"/>
                <w:bCs/>
                <w:i/>
                <w:iCs/>
                <w:sz w:val="16"/>
                <w:szCs w:val="16"/>
                <w:lang w:val="pl-PL"/>
              </w:rPr>
            </w:pPr>
          </w:p>
        </w:tc>
      </w:tr>
      <w:tr w:rsidR="005C7753" w:rsidRPr="00D672D9" w14:paraId="602962C0" w14:textId="77777777" w:rsidTr="008E1FA7">
        <w:trPr>
          <w:gridAfter w:val="1"/>
          <w:wAfter w:w="23" w:type="dxa"/>
        </w:trPr>
        <w:tc>
          <w:tcPr>
            <w:tcW w:w="4531" w:type="dxa"/>
            <w:shd w:val="clear" w:color="auto" w:fill="DDD9C3" w:themeFill="background2" w:themeFillShade="E6"/>
          </w:tcPr>
          <w:p w14:paraId="5C85E174" w14:textId="2E460BFC" w:rsidR="005C7753" w:rsidRPr="0012375C" w:rsidRDefault="005C7753" w:rsidP="005C7753">
            <w:pPr>
              <w:pStyle w:val="Bezodstpw"/>
              <w:rPr>
                <w:rFonts w:cs="Arial"/>
                <w:b/>
                <w:bCs/>
                <w:sz w:val="22"/>
                <w:szCs w:val="22"/>
                <w:lang w:val="pl-PL"/>
              </w:rPr>
            </w:pPr>
            <w:r w:rsidRPr="0012375C">
              <w:rPr>
                <w:rFonts w:ascii="Arial Narrow" w:hAnsi="Arial Narrow"/>
                <w:sz w:val="22"/>
                <w:szCs w:val="22"/>
                <w:lang w:val="pl-PL"/>
              </w:rPr>
              <w:t xml:space="preserve">Wnioskowane wsparcie może być udzielone jedynie w wysokości: </w:t>
            </w:r>
          </w:p>
        </w:tc>
        <w:tc>
          <w:tcPr>
            <w:tcW w:w="692" w:type="dxa"/>
            <w:shd w:val="clear" w:color="auto" w:fill="auto"/>
          </w:tcPr>
          <w:p w14:paraId="1726FFBA"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4E2D3B37"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845931C" w14:textId="77777777" w:rsidR="005C7753" w:rsidRPr="0012375C" w:rsidRDefault="005C7753" w:rsidP="005C7753">
            <w:pPr>
              <w:spacing w:line="360" w:lineRule="auto"/>
              <w:jc w:val="both"/>
              <w:rPr>
                <w:rFonts w:cs="Arial"/>
                <w:bCs/>
                <w:i/>
                <w:iCs/>
                <w:sz w:val="16"/>
                <w:szCs w:val="16"/>
                <w:lang w:val="pl-PL"/>
              </w:rPr>
            </w:pPr>
          </w:p>
        </w:tc>
      </w:tr>
      <w:tr w:rsidR="005C7753" w:rsidRPr="00BD2925" w14:paraId="31EB0275" w14:textId="77777777" w:rsidTr="00227879">
        <w:tc>
          <w:tcPr>
            <w:tcW w:w="4531" w:type="dxa"/>
            <w:shd w:val="clear" w:color="auto" w:fill="A6A6A6" w:themeFill="background1" w:themeFillShade="A6"/>
          </w:tcPr>
          <w:p w14:paraId="761CC4B7" w14:textId="1881D05D" w:rsidR="005C7753" w:rsidRPr="00227879" w:rsidRDefault="005C7753" w:rsidP="005C7753">
            <w:pPr>
              <w:spacing w:line="360" w:lineRule="auto"/>
              <w:jc w:val="both"/>
              <w:rPr>
                <w:rFonts w:cs="Arial"/>
                <w:b/>
                <w:lang w:val="pl-PL"/>
              </w:rPr>
            </w:pPr>
            <w:bookmarkStart w:id="2" w:name="_Hlk152841586"/>
            <w:r w:rsidRPr="0012375C">
              <w:rPr>
                <w:rFonts w:cs="Arial"/>
                <w:b/>
                <w:lang w:val="pl-PL"/>
              </w:rPr>
              <w:t>Podpis i data Wnioskodawcy:</w:t>
            </w:r>
            <w:r w:rsidRPr="0012375C">
              <w:rPr>
                <w:rFonts w:cs="Arial"/>
                <w:lang w:val="pl-PL"/>
              </w:rPr>
              <w:t xml:space="preserve">  </w:t>
            </w:r>
          </w:p>
        </w:tc>
        <w:tc>
          <w:tcPr>
            <w:tcW w:w="4531" w:type="dxa"/>
            <w:gridSpan w:val="4"/>
          </w:tcPr>
          <w:p w14:paraId="48B3899B" w14:textId="77777777" w:rsidR="005C7753" w:rsidRPr="0012375C" w:rsidRDefault="005C7753" w:rsidP="005C7753">
            <w:pPr>
              <w:spacing w:line="360" w:lineRule="auto"/>
              <w:jc w:val="both"/>
              <w:rPr>
                <w:rFonts w:cs="Arial"/>
                <w:lang w:val="pl-PL"/>
              </w:rPr>
            </w:pPr>
          </w:p>
          <w:p w14:paraId="2AB2D328" w14:textId="77777777" w:rsidR="005C7753" w:rsidRPr="0012375C" w:rsidRDefault="005C7753" w:rsidP="005C7753">
            <w:pPr>
              <w:spacing w:line="360" w:lineRule="auto"/>
              <w:jc w:val="both"/>
              <w:rPr>
                <w:rFonts w:cs="Arial"/>
                <w:lang w:val="pl-PL"/>
              </w:rPr>
            </w:pPr>
          </w:p>
          <w:p w14:paraId="295B62D3" w14:textId="77777777" w:rsidR="005C7753" w:rsidRPr="0012375C" w:rsidRDefault="005C7753" w:rsidP="005C7753">
            <w:pPr>
              <w:spacing w:line="360" w:lineRule="auto"/>
              <w:jc w:val="both"/>
              <w:rPr>
                <w:rFonts w:cs="Arial"/>
                <w:lang w:val="pl-PL"/>
              </w:rPr>
            </w:pPr>
          </w:p>
        </w:tc>
      </w:tr>
      <w:bookmarkEnd w:id="2"/>
    </w:tbl>
    <w:p w14:paraId="1FCA1920" w14:textId="77777777" w:rsidR="000C718B" w:rsidRPr="00BD2925" w:rsidRDefault="000C718B">
      <w:pPr>
        <w:spacing w:line="360" w:lineRule="auto"/>
        <w:jc w:val="both"/>
        <w:rPr>
          <w:rFonts w:cs="Arial"/>
          <w:lang w:val="pl-PL"/>
        </w:rPr>
      </w:pPr>
    </w:p>
    <w:sectPr w:rsidR="000C718B" w:rsidRPr="00BD2925" w:rsidSect="008023D4">
      <w:headerReference w:type="even" r:id="rId9"/>
      <w:headerReference w:type="default" r:id="rId10"/>
      <w:footerReference w:type="default" r:id="rId11"/>
      <w:headerReference w:type="first" r:id="rId12"/>
      <w:footerReference w:type="first" r:id="rId13"/>
      <w:pgSz w:w="11906" w:h="16838"/>
      <w:pgMar w:top="1417" w:right="1417" w:bottom="1134" w:left="1417" w:header="426"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45500" w14:textId="77777777" w:rsidR="00D87EA2" w:rsidRDefault="00D87EA2">
      <w:r>
        <w:separator/>
      </w:r>
    </w:p>
  </w:endnote>
  <w:endnote w:type="continuationSeparator" w:id="0">
    <w:p w14:paraId="11A23961" w14:textId="77777777" w:rsidR="00D87EA2" w:rsidRDefault="00D8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F367B" w14:textId="459D760B" w:rsidR="002F5995" w:rsidRPr="002F5995" w:rsidRDefault="003C3F26">
    <w:pPr>
      <w:pStyle w:val="Stopka"/>
      <w:rPr>
        <w:sz w:val="18"/>
        <w:szCs w:val="18"/>
      </w:rPr>
    </w:pPr>
    <w:r>
      <w:rPr>
        <w:sz w:val="18"/>
        <w:szCs w:val="18"/>
      </w:rPr>
      <w:t>Stan na</w:t>
    </w:r>
    <w:r w:rsidR="00D609A1">
      <w:rPr>
        <w:sz w:val="18"/>
        <w:szCs w:val="18"/>
      </w:rPr>
      <w:t>:</w:t>
    </w:r>
    <w:r w:rsidR="00D24A06">
      <w:rPr>
        <w:sz w:val="18"/>
        <w:szCs w:val="18"/>
      </w:rPr>
      <w:t xml:space="preserve"> </w:t>
    </w:r>
    <w:r>
      <w:rPr>
        <w:sz w:val="18"/>
        <w:szCs w:val="18"/>
      </w:rPr>
      <w:t>11.2025</w:t>
    </w:r>
    <w:r w:rsidR="00D609A1">
      <w:rPr>
        <w:sz w:val="18"/>
        <w:szCs w:val="18"/>
      </w:rPr>
      <w:t xml:space="preserve"> r.</w:t>
    </w:r>
  </w:p>
  <w:p w14:paraId="6A9BCE88" w14:textId="77777777" w:rsidR="002F5995" w:rsidRDefault="002F599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F0DCD" w14:textId="5FFDADC9" w:rsidR="002F5995" w:rsidRPr="002F5995" w:rsidRDefault="002F5995">
    <w:pPr>
      <w:pStyle w:val="Stopka"/>
      <w:rPr>
        <w:sz w:val="18"/>
        <w:szCs w:val="18"/>
      </w:rPr>
    </w:pPr>
    <w:r w:rsidRPr="002F5995">
      <w:rPr>
        <w:sz w:val="18"/>
        <w:szCs w:val="18"/>
      </w:rPr>
      <w:t>Stan na</w:t>
    </w:r>
    <w:r w:rsidR="00D609A1">
      <w:rPr>
        <w:sz w:val="18"/>
        <w:szCs w:val="18"/>
      </w:rPr>
      <w:t>:</w:t>
    </w:r>
    <w:r w:rsidRPr="002F5995">
      <w:rPr>
        <w:sz w:val="18"/>
        <w:szCs w:val="18"/>
      </w:rPr>
      <w:t xml:space="preserve"> </w:t>
    </w:r>
    <w:r w:rsidR="003C3F26">
      <w:rPr>
        <w:sz w:val="18"/>
        <w:szCs w:val="18"/>
      </w:rPr>
      <w:t>1</w:t>
    </w:r>
    <w:r w:rsidR="007721B6">
      <w:rPr>
        <w:sz w:val="18"/>
        <w:szCs w:val="18"/>
      </w:rPr>
      <w:t>1.2025 r.</w:t>
    </w:r>
  </w:p>
  <w:p w14:paraId="11CAC7A2" w14:textId="77777777" w:rsidR="002F5995" w:rsidRDefault="002F59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AFDC1" w14:textId="77777777" w:rsidR="00D87EA2" w:rsidRDefault="00D87EA2">
      <w:r>
        <w:separator/>
      </w:r>
    </w:p>
  </w:footnote>
  <w:footnote w:type="continuationSeparator" w:id="0">
    <w:p w14:paraId="077ABA92" w14:textId="77777777" w:rsidR="00D87EA2" w:rsidRDefault="00D87EA2">
      <w:r>
        <w:continuationSeparator/>
      </w:r>
    </w:p>
  </w:footnote>
  <w:footnote w:id="1">
    <w:p w14:paraId="1385673A" w14:textId="77777777" w:rsidR="00502C15" w:rsidRPr="00185869" w:rsidRDefault="00502C15" w:rsidP="00502C15">
      <w:pPr>
        <w:pStyle w:val="Tekstprzypisudolnego"/>
        <w:rPr>
          <w:lang w:val="pl-PL"/>
        </w:rPr>
      </w:pPr>
      <w:r>
        <w:rPr>
          <w:rStyle w:val="Odwoanieprzypisudolnego"/>
        </w:rPr>
        <w:footnoteRef/>
      </w:r>
      <w:r w:rsidRPr="00185869">
        <w:rPr>
          <w:lang w:val="pl-PL"/>
        </w:rPr>
        <w:t xml:space="preserve"> </w:t>
      </w:r>
      <w:bookmarkStart w:id="1" w:name="_Hlk188525017"/>
      <w:r w:rsidRPr="00185869">
        <w:rPr>
          <w:rFonts w:ascii="Arial Narrow" w:hAnsi="Arial Narrow"/>
          <w:lang w:val="pl-PL"/>
        </w:rPr>
        <w:t>Traktat o funkcjonowaniu Unii Europejskiej.</w:t>
      </w:r>
      <w:bookmarkEnd w:id="1"/>
    </w:p>
    <w:p w14:paraId="7FD5DEAE" w14:textId="77777777" w:rsidR="00502C15" w:rsidRPr="00736028" w:rsidRDefault="00502C15" w:rsidP="00502C15">
      <w:pPr>
        <w:pStyle w:val="Tekstprzypisudolnego"/>
        <w:rPr>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F1334" w14:textId="77777777" w:rsidR="000C718B" w:rsidRDefault="007F304F">
    <w:pPr>
      <w:framePr w:wrap="around" w:vAnchor="text" w:hAnchor="margin" w:xAlign="center" w:y="1"/>
    </w:pPr>
    <w:r>
      <w:fldChar w:fldCharType="begin"/>
    </w:r>
    <w:r>
      <w:instrText xml:space="preserve">PAGE  </w:instrText>
    </w:r>
    <w:r>
      <w:fldChar w:fldCharType="end"/>
    </w:r>
  </w:p>
  <w:p w14:paraId="66107FAA" w14:textId="77777777" w:rsidR="000C718B" w:rsidRDefault="000C71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7B94D" w14:textId="77777777" w:rsidR="00D6056F" w:rsidRDefault="00D6056F">
    <w:pPr>
      <w:pStyle w:val="Nagwek"/>
    </w:pPr>
  </w:p>
  <w:p w14:paraId="1DCC9D9C" w14:textId="77777777" w:rsidR="000C718B" w:rsidRDefault="000C718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9130" w14:textId="37A29651" w:rsidR="00972D24" w:rsidRDefault="003C3F26">
    <w:pPr>
      <w:pStyle w:val="Nagwek"/>
    </w:pPr>
    <w:r>
      <w:rPr>
        <w:noProof/>
        <w:lang w:val="pl-PL" w:eastAsia="pl-PL"/>
      </w:rPr>
      <w:drawing>
        <wp:inline distT="0" distB="0" distL="0" distR="0" wp14:anchorId="736D6455" wp14:editId="18965E3D">
          <wp:extent cx="5760000" cy="587937"/>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 Euroregion KPF FM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0" cy="587937"/>
                  </a:xfrm>
                  <a:prstGeom prst="rect">
                    <a:avLst/>
                  </a:prstGeom>
                </pic:spPr>
              </pic:pic>
            </a:graphicData>
          </a:graphic>
        </wp:inline>
      </w:drawing>
    </w:r>
  </w:p>
  <w:p w14:paraId="4912C4A4" w14:textId="77777777" w:rsidR="00972D24" w:rsidRDefault="00972D2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E5AE1"/>
    <w:multiLevelType w:val="hybridMultilevel"/>
    <w:tmpl w:val="807A3F62"/>
    <w:lvl w:ilvl="0" w:tplc="4CDAD6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C15"/>
    <w:rsid w:val="00007DEF"/>
    <w:rsid w:val="00011744"/>
    <w:rsid w:val="0002365C"/>
    <w:rsid w:val="0002619F"/>
    <w:rsid w:val="00027082"/>
    <w:rsid w:val="00034C45"/>
    <w:rsid w:val="00062D6C"/>
    <w:rsid w:val="00066B8F"/>
    <w:rsid w:val="000C718B"/>
    <w:rsid w:val="000D489D"/>
    <w:rsid w:val="000E06AE"/>
    <w:rsid w:val="000E5769"/>
    <w:rsid w:val="000F7307"/>
    <w:rsid w:val="001130F9"/>
    <w:rsid w:val="0012375C"/>
    <w:rsid w:val="00123B81"/>
    <w:rsid w:val="00124A4D"/>
    <w:rsid w:val="00131E16"/>
    <w:rsid w:val="00140201"/>
    <w:rsid w:val="001410B0"/>
    <w:rsid w:val="00175322"/>
    <w:rsid w:val="00176F53"/>
    <w:rsid w:val="001A7A08"/>
    <w:rsid w:val="001B0275"/>
    <w:rsid w:val="001C2D64"/>
    <w:rsid w:val="001D7B88"/>
    <w:rsid w:val="001F0511"/>
    <w:rsid w:val="001F0B20"/>
    <w:rsid w:val="001F6EA1"/>
    <w:rsid w:val="0020558D"/>
    <w:rsid w:val="0021091A"/>
    <w:rsid w:val="0021636F"/>
    <w:rsid w:val="00227879"/>
    <w:rsid w:val="00230C4A"/>
    <w:rsid w:val="00253869"/>
    <w:rsid w:val="0025709A"/>
    <w:rsid w:val="002608CB"/>
    <w:rsid w:val="002739D3"/>
    <w:rsid w:val="002756A9"/>
    <w:rsid w:val="002930A4"/>
    <w:rsid w:val="00295B41"/>
    <w:rsid w:val="00295CBB"/>
    <w:rsid w:val="002C5FD9"/>
    <w:rsid w:val="002D188D"/>
    <w:rsid w:val="002E28AD"/>
    <w:rsid w:val="002F0F30"/>
    <w:rsid w:val="002F5290"/>
    <w:rsid w:val="002F5995"/>
    <w:rsid w:val="00321EFE"/>
    <w:rsid w:val="003254AD"/>
    <w:rsid w:val="00325B31"/>
    <w:rsid w:val="00325D27"/>
    <w:rsid w:val="00332390"/>
    <w:rsid w:val="00334158"/>
    <w:rsid w:val="00340395"/>
    <w:rsid w:val="00340F3D"/>
    <w:rsid w:val="00350A2F"/>
    <w:rsid w:val="003652D3"/>
    <w:rsid w:val="00366D9D"/>
    <w:rsid w:val="00374F32"/>
    <w:rsid w:val="00384168"/>
    <w:rsid w:val="003C3F26"/>
    <w:rsid w:val="003D385A"/>
    <w:rsid w:val="003F0556"/>
    <w:rsid w:val="00413440"/>
    <w:rsid w:val="0041398C"/>
    <w:rsid w:val="00413CAC"/>
    <w:rsid w:val="00420648"/>
    <w:rsid w:val="00434C23"/>
    <w:rsid w:val="0043550B"/>
    <w:rsid w:val="00456E88"/>
    <w:rsid w:val="00465EE4"/>
    <w:rsid w:val="00471612"/>
    <w:rsid w:val="00484075"/>
    <w:rsid w:val="00484484"/>
    <w:rsid w:val="004C5459"/>
    <w:rsid w:val="004C5D50"/>
    <w:rsid w:val="004D1983"/>
    <w:rsid w:val="004E1E25"/>
    <w:rsid w:val="00502C15"/>
    <w:rsid w:val="0050675F"/>
    <w:rsid w:val="005301DF"/>
    <w:rsid w:val="005307D2"/>
    <w:rsid w:val="005340C0"/>
    <w:rsid w:val="00571969"/>
    <w:rsid w:val="00571EDF"/>
    <w:rsid w:val="00574AC3"/>
    <w:rsid w:val="00581232"/>
    <w:rsid w:val="0058145E"/>
    <w:rsid w:val="00585663"/>
    <w:rsid w:val="005874CB"/>
    <w:rsid w:val="005C6770"/>
    <w:rsid w:val="005C7753"/>
    <w:rsid w:val="005F1A0A"/>
    <w:rsid w:val="00604CE0"/>
    <w:rsid w:val="0061541A"/>
    <w:rsid w:val="00626AAA"/>
    <w:rsid w:val="006377E0"/>
    <w:rsid w:val="00673E79"/>
    <w:rsid w:val="0069320C"/>
    <w:rsid w:val="006B3FED"/>
    <w:rsid w:val="006B6770"/>
    <w:rsid w:val="006B7B45"/>
    <w:rsid w:val="006E27D7"/>
    <w:rsid w:val="00702D93"/>
    <w:rsid w:val="00703BF8"/>
    <w:rsid w:val="00714B07"/>
    <w:rsid w:val="0073373F"/>
    <w:rsid w:val="0074429F"/>
    <w:rsid w:val="00747051"/>
    <w:rsid w:val="00750313"/>
    <w:rsid w:val="00754A44"/>
    <w:rsid w:val="007721B6"/>
    <w:rsid w:val="007752D5"/>
    <w:rsid w:val="00780571"/>
    <w:rsid w:val="007B39A2"/>
    <w:rsid w:val="007D426B"/>
    <w:rsid w:val="007E6CA9"/>
    <w:rsid w:val="007F304F"/>
    <w:rsid w:val="00801397"/>
    <w:rsid w:val="008023D4"/>
    <w:rsid w:val="008119F4"/>
    <w:rsid w:val="0081562F"/>
    <w:rsid w:val="00820285"/>
    <w:rsid w:val="0088077F"/>
    <w:rsid w:val="008B2BCE"/>
    <w:rsid w:val="008B373E"/>
    <w:rsid w:val="008C5F9B"/>
    <w:rsid w:val="008C71FC"/>
    <w:rsid w:val="008D1536"/>
    <w:rsid w:val="008E07C0"/>
    <w:rsid w:val="008E1FA7"/>
    <w:rsid w:val="008F6BDD"/>
    <w:rsid w:val="009075BE"/>
    <w:rsid w:val="00907A61"/>
    <w:rsid w:val="009222A9"/>
    <w:rsid w:val="0093225A"/>
    <w:rsid w:val="009374E9"/>
    <w:rsid w:val="00953BB8"/>
    <w:rsid w:val="009658CE"/>
    <w:rsid w:val="00972D24"/>
    <w:rsid w:val="0098139A"/>
    <w:rsid w:val="0099323F"/>
    <w:rsid w:val="009936D8"/>
    <w:rsid w:val="009A57BA"/>
    <w:rsid w:val="009A65D7"/>
    <w:rsid w:val="009C1603"/>
    <w:rsid w:val="009C4648"/>
    <w:rsid w:val="00A171CE"/>
    <w:rsid w:val="00A23F6B"/>
    <w:rsid w:val="00A26335"/>
    <w:rsid w:val="00A3523C"/>
    <w:rsid w:val="00A352D3"/>
    <w:rsid w:val="00A40CEE"/>
    <w:rsid w:val="00A439ED"/>
    <w:rsid w:val="00A96F0D"/>
    <w:rsid w:val="00AA6B25"/>
    <w:rsid w:val="00AB2587"/>
    <w:rsid w:val="00AC7043"/>
    <w:rsid w:val="00AE0185"/>
    <w:rsid w:val="00AF4C91"/>
    <w:rsid w:val="00B30FE4"/>
    <w:rsid w:val="00B36069"/>
    <w:rsid w:val="00B518B1"/>
    <w:rsid w:val="00B72370"/>
    <w:rsid w:val="00BA3A6D"/>
    <w:rsid w:val="00BA51D8"/>
    <w:rsid w:val="00BB44F9"/>
    <w:rsid w:val="00BD2925"/>
    <w:rsid w:val="00BF24E5"/>
    <w:rsid w:val="00C15794"/>
    <w:rsid w:val="00C30C04"/>
    <w:rsid w:val="00C40136"/>
    <w:rsid w:val="00C85B76"/>
    <w:rsid w:val="00C869B2"/>
    <w:rsid w:val="00C86B49"/>
    <w:rsid w:val="00C93F7B"/>
    <w:rsid w:val="00C96C60"/>
    <w:rsid w:val="00CA5225"/>
    <w:rsid w:val="00CB2614"/>
    <w:rsid w:val="00CB6B0E"/>
    <w:rsid w:val="00CC6D69"/>
    <w:rsid w:val="00CD2520"/>
    <w:rsid w:val="00CE01D0"/>
    <w:rsid w:val="00CE4C1D"/>
    <w:rsid w:val="00D0037C"/>
    <w:rsid w:val="00D04F5E"/>
    <w:rsid w:val="00D064AF"/>
    <w:rsid w:val="00D22BDE"/>
    <w:rsid w:val="00D24A06"/>
    <w:rsid w:val="00D2778E"/>
    <w:rsid w:val="00D53B3F"/>
    <w:rsid w:val="00D56205"/>
    <w:rsid w:val="00D6056F"/>
    <w:rsid w:val="00D609A1"/>
    <w:rsid w:val="00D672D9"/>
    <w:rsid w:val="00D678D8"/>
    <w:rsid w:val="00D87EA2"/>
    <w:rsid w:val="00D966E8"/>
    <w:rsid w:val="00DB1CBD"/>
    <w:rsid w:val="00DF7CE6"/>
    <w:rsid w:val="00E14DB3"/>
    <w:rsid w:val="00E20380"/>
    <w:rsid w:val="00E21DE6"/>
    <w:rsid w:val="00E320CF"/>
    <w:rsid w:val="00E464EF"/>
    <w:rsid w:val="00E4783B"/>
    <w:rsid w:val="00E51448"/>
    <w:rsid w:val="00E61633"/>
    <w:rsid w:val="00E80B48"/>
    <w:rsid w:val="00E86EA4"/>
    <w:rsid w:val="00EA2FB4"/>
    <w:rsid w:val="00EA3450"/>
    <w:rsid w:val="00EA724A"/>
    <w:rsid w:val="00EC2A37"/>
    <w:rsid w:val="00F00A60"/>
    <w:rsid w:val="00F036C5"/>
    <w:rsid w:val="00F3367A"/>
    <w:rsid w:val="00F51ABA"/>
    <w:rsid w:val="00F72C88"/>
    <w:rsid w:val="00F75ED7"/>
    <w:rsid w:val="00F764BD"/>
    <w:rsid w:val="00FA0C69"/>
    <w:rsid w:val="00FC695A"/>
    <w:rsid w:val="00FD4C80"/>
    <w:rsid w:val="00FE2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CE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C15"/>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2C15"/>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502C15"/>
    <w:rPr>
      <w:rFonts w:ascii="Arial" w:hAnsi="Arial"/>
      <w:sz w:val="24"/>
      <w:szCs w:val="24"/>
    </w:rPr>
  </w:style>
  <w:style w:type="paragraph" w:styleId="Tekstprzypisudolnego">
    <w:name w:val="footnote text"/>
    <w:basedOn w:val="Normalny"/>
    <w:link w:val="TekstprzypisudolnegoZnak"/>
    <w:uiPriority w:val="99"/>
    <w:semiHidden/>
    <w:unhideWhenUsed/>
    <w:rsid w:val="00502C15"/>
    <w:rPr>
      <w:sz w:val="20"/>
      <w:szCs w:val="20"/>
    </w:rPr>
  </w:style>
  <w:style w:type="character" w:customStyle="1" w:styleId="TekstprzypisudolnegoZnak">
    <w:name w:val="Tekst przypisu dolnego Znak"/>
    <w:basedOn w:val="Domylnaczcionkaakapitu"/>
    <w:link w:val="Tekstprzypisudolnego"/>
    <w:uiPriority w:val="99"/>
    <w:semiHidden/>
    <w:rsid w:val="00502C15"/>
    <w:rPr>
      <w:rFonts w:ascii="Arial" w:hAnsi="Arial"/>
    </w:rPr>
  </w:style>
  <w:style w:type="character" w:styleId="Odwoanieprzypisudolnego">
    <w:name w:val="footnote reference"/>
    <w:basedOn w:val="Domylnaczcionkaakapitu"/>
    <w:uiPriority w:val="99"/>
    <w:semiHidden/>
    <w:unhideWhenUsed/>
    <w:rsid w:val="00502C15"/>
    <w:rPr>
      <w:vertAlign w:val="superscript"/>
    </w:rPr>
  </w:style>
  <w:style w:type="paragraph" w:styleId="Tekstdymka">
    <w:name w:val="Balloon Text"/>
    <w:basedOn w:val="Normalny"/>
    <w:link w:val="TekstdymkaZnak"/>
    <w:uiPriority w:val="99"/>
    <w:semiHidden/>
    <w:unhideWhenUsed/>
    <w:rsid w:val="0020558D"/>
    <w:rPr>
      <w:rFonts w:ascii="Tahoma" w:hAnsi="Tahoma" w:cs="Tahoma"/>
      <w:sz w:val="16"/>
      <w:szCs w:val="16"/>
    </w:rPr>
  </w:style>
  <w:style w:type="character" w:customStyle="1" w:styleId="TekstdymkaZnak">
    <w:name w:val="Tekst dymka Znak"/>
    <w:basedOn w:val="Domylnaczcionkaakapitu"/>
    <w:link w:val="Tekstdymka"/>
    <w:uiPriority w:val="99"/>
    <w:semiHidden/>
    <w:rsid w:val="0020558D"/>
    <w:rPr>
      <w:rFonts w:ascii="Tahoma" w:hAnsi="Tahoma" w:cs="Tahoma"/>
      <w:sz w:val="16"/>
      <w:szCs w:val="16"/>
    </w:rPr>
  </w:style>
  <w:style w:type="paragraph" w:styleId="Stopka">
    <w:name w:val="footer"/>
    <w:basedOn w:val="Normalny"/>
    <w:link w:val="StopkaZnak"/>
    <w:uiPriority w:val="99"/>
    <w:unhideWhenUsed/>
    <w:rsid w:val="00D6056F"/>
    <w:pPr>
      <w:tabs>
        <w:tab w:val="center" w:pos="4536"/>
        <w:tab w:val="right" w:pos="9072"/>
      </w:tabs>
    </w:pPr>
  </w:style>
  <w:style w:type="character" w:customStyle="1" w:styleId="StopkaZnak">
    <w:name w:val="Stopka Znak"/>
    <w:basedOn w:val="Domylnaczcionkaakapitu"/>
    <w:link w:val="Stopka"/>
    <w:uiPriority w:val="99"/>
    <w:rsid w:val="00D6056F"/>
    <w:rPr>
      <w:rFonts w:ascii="Arial" w:hAnsi="Arial"/>
      <w:sz w:val="24"/>
      <w:szCs w:val="24"/>
    </w:rPr>
  </w:style>
  <w:style w:type="paragraph" w:styleId="Nagwek">
    <w:name w:val="header"/>
    <w:basedOn w:val="Normalny"/>
    <w:link w:val="NagwekZnak"/>
    <w:uiPriority w:val="99"/>
    <w:unhideWhenUsed/>
    <w:rsid w:val="00D6056F"/>
    <w:pPr>
      <w:tabs>
        <w:tab w:val="center" w:pos="4536"/>
        <w:tab w:val="right" w:pos="9072"/>
      </w:tabs>
    </w:pPr>
  </w:style>
  <w:style w:type="character" w:customStyle="1" w:styleId="NagwekZnak">
    <w:name w:val="Nagłówek Znak"/>
    <w:basedOn w:val="Domylnaczcionkaakapitu"/>
    <w:link w:val="Nagwek"/>
    <w:uiPriority w:val="99"/>
    <w:rsid w:val="00D6056F"/>
    <w:rPr>
      <w:rFonts w:ascii="Arial" w:hAnsi="Arial"/>
      <w:sz w:val="24"/>
      <w:szCs w:val="24"/>
    </w:rPr>
  </w:style>
  <w:style w:type="paragraph" w:styleId="Tekstprzypisukocowego">
    <w:name w:val="endnote text"/>
    <w:basedOn w:val="Normalny"/>
    <w:link w:val="TekstprzypisukocowegoZnak"/>
    <w:uiPriority w:val="99"/>
    <w:semiHidden/>
    <w:unhideWhenUsed/>
    <w:rsid w:val="00E464EF"/>
    <w:rPr>
      <w:sz w:val="20"/>
      <w:szCs w:val="20"/>
    </w:rPr>
  </w:style>
  <w:style w:type="character" w:customStyle="1" w:styleId="TekstprzypisukocowegoZnak">
    <w:name w:val="Tekst przypisu końcowego Znak"/>
    <w:basedOn w:val="Domylnaczcionkaakapitu"/>
    <w:link w:val="Tekstprzypisukocowego"/>
    <w:uiPriority w:val="99"/>
    <w:semiHidden/>
    <w:rsid w:val="00E464EF"/>
    <w:rPr>
      <w:rFonts w:ascii="Arial" w:hAnsi="Arial"/>
    </w:rPr>
  </w:style>
  <w:style w:type="character" w:styleId="Odwoanieprzypisukocowego">
    <w:name w:val="endnote reference"/>
    <w:basedOn w:val="Domylnaczcionkaakapitu"/>
    <w:uiPriority w:val="99"/>
    <w:semiHidden/>
    <w:unhideWhenUsed/>
    <w:rsid w:val="00E464E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C15"/>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2C15"/>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502C15"/>
    <w:rPr>
      <w:rFonts w:ascii="Arial" w:hAnsi="Arial"/>
      <w:sz w:val="24"/>
      <w:szCs w:val="24"/>
    </w:rPr>
  </w:style>
  <w:style w:type="paragraph" w:styleId="Tekstprzypisudolnego">
    <w:name w:val="footnote text"/>
    <w:basedOn w:val="Normalny"/>
    <w:link w:val="TekstprzypisudolnegoZnak"/>
    <w:uiPriority w:val="99"/>
    <w:semiHidden/>
    <w:unhideWhenUsed/>
    <w:rsid w:val="00502C15"/>
    <w:rPr>
      <w:sz w:val="20"/>
      <w:szCs w:val="20"/>
    </w:rPr>
  </w:style>
  <w:style w:type="character" w:customStyle="1" w:styleId="TekstprzypisudolnegoZnak">
    <w:name w:val="Tekst przypisu dolnego Znak"/>
    <w:basedOn w:val="Domylnaczcionkaakapitu"/>
    <w:link w:val="Tekstprzypisudolnego"/>
    <w:uiPriority w:val="99"/>
    <w:semiHidden/>
    <w:rsid w:val="00502C15"/>
    <w:rPr>
      <w:rFonts w:ascii="Arial" w:hAnsi="Arial"/>
    </w:rPr>
  </w:style>
  <w:style w:type="character" w:styleId="Odwoanieprzypisudolnego">
    <w:name w:val="footnote reference"/>
    <w:basedOn w:val="Domylnaczcionkaakapitu"/>
    <w:uiPriority w:val="99"/>
    <w:semiHidden/>
    <w:unhideWhenUsed/>
    <w:rsid w:val="00502C15"/>
    <w:rPr>
      <w:vertAlign w:val="superscript"/>
    </w:rPr>
  </w:style>
  <w:style w:type="paragraph" w:styleId="Tekstdymka">
    <w:name w:val="Balloon Text"/>
    <w:basedOn w:val="Normalny"/>
    <w:link w:val="TekstdymkaZnak"/>
    <w:uiPriority w:val="99"/>
    <w:semiHidden/>
    <w:unhideWhenUsed/>
    <w:rsid w:val="0020558D"/>
    <w:rPr>
      <w:rFonts w:ascii="Tahoma" w:hAnsi="Tahoma" w:cs="Tahoma"/>
      <w:sz w:val="16"/>
      <w:szCs w:val="16"/>
    </w:rPr>
  </w:style>
  <w:style w:type="character" w:customStyle="1" w:styleId="TekstdymkaZnak">
    <w:name w:val="Tekst dymka Znak"/>
    <w:basedOn w:val="Domylnaczcionkaakapitu"/>
    <w:link w:val="Tekstdymka"/>
    <w:uiPriority w:val="99"/>
    <w:semiHidden/>
    <w:rsid w:val="0020558D"/>
    <w:rPr>
      <w:rFonts w:ascii="Tahoma" w:hAnsi="Tahoma" w:cs="Tahoma"/>
      <w:sz w:val="16"/>
      <w:szCs w:val="16"/>
    </w:rPr>
  </w:style>
  <w:style w:type="paragraph" w:styleId="Stopka">
    <w:name w:val="footer"/>
    <w:basedOn w:val="Normalny"/>
    <w:link w:val="StopkaZnak"/>
    <w:uiPriority w:val="99"/>
    <w:unhideWhenUsed/>
    <w:rsid w:val="00D6056F"/>
    <w:pPr>
      <w:tabs>
        <w:tab w:val="center" w:pos="4536"/>
        <w:tab w:val="right" w:pos="9072"/>
      </w:tabs>
    </w:pPr>
  </w:style>
  <w:style w:type="character" w:customStyle="1" w:styleId="StopkaZnak">
    <w:name w:val="Stopka Znak"/>
    <w:basedOn w:val="Domylnaczcionkaakapitu"/>
    <w:link w:val="Stopka"/>
    <w:uiPriority w:val="99"/>
    <w:rsid w:val="00D6056F"/>
    <w:rPr>
      <w:rFonts w:ascii="Arial" w:hAnsi="Arial"/>
      <w:sz w:val="24"/>
      <w:szCs w:val="24"/>
    </w:rPr>
  </w:style>
  <w:style w:type="paragraph" w:styleId="Nagwek">
    <w:name w:val="header"/>
    <w:basedOn w:val="Normalny"/>
    <w:link w:val="NagwekZnak"/>
    <w:uiPriority w:val="99"/>
    <w:unhideWhenUsed/>
    <w:rsid w:val="00D6056F"/>
    <w:pPr>
      <w:tabs>
        <w:tab w:val="center" w:pos="4536"/>
        <w:tab w:val="right" w:pos="9072"/>
      </w:tabs>
    </w:pPr>
  </w:style>
  <w:style w:type="character" w:customStyle="1" w:styleId="NagwekZnak">
    <w:name w:val="Nagłówek Znak"/>
    <w:basedOn w:val="Domylnaczcionkaakapitu"/>
    <w:link w:val="Nagwek"/>
    <w:uiPriority w:val="99"/>
    <w:rsid w:val="00D6056F"/>
    <w:rPr>
      <w:rFonts w:ascii="Arial" w:hAnsi="Arial"/>
      <w:sz w:val="24"/>
      <w:szCs w:val="24"/>
    </w:rPr>
  </w:style>
  <w:style w:type="paragraph" w:styleId="Tekstprzypisukocowego">
    <w:name w:val="endnote text"/>
    <w:basedOn w:val="Normalny"/>
    <w:link w:val="TekstprzypisukocowegoZnak"/>
    <w:uiPriority w:val="99"/>
    <w:semiHidden/>
    <w:unhideWhenUsed/>
    <w:rsid w:val="00E464EF"/>
    <w:rPr>
      <w:sz w:val="20"/>
      <w:szCs w:val="20"/>
    </w:rPr>
  </w:style>
  <w:style w:type="character" w:customStyle="1" w:styleId="TekstprzypisukocowegoZnak">
    <w:name w:val="Tekst przypisu końcowego Znak"/>
    <w:basedOn w:val="Domylnaczcionkaakapitu"/>
    <w:link w:val="Tekstprzypisukocowego"/>
    <w:uiPriority w:val="99"/>
    <w:semiHidden/>
    <w:rsid w:val="00E464EF"/>
    <w:rPr>
      <w:rFonts w:ascii="Arial" w:hAnsi="Arial"/>
    </w:rPr>
  </w:style>
  <w:style w:type="character" w:styleId="Odwoanieprzypisukocowego">
    <w:name w:val="endnote reference"/>
    <w:basedOn w:val="Domylnaczcionkaakapitu"/>
    <w:uiPriority w:val="99"/>
    <w:semiHidden/>
    <w:unhideWhenUsed/>
    <w:rsid w:val="00E464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30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2DDD-C490-4ABD-BE4E-C3797944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1216</Words>
  <Characters>7302</Characters>
  <Application>Microsoft Office Word</Application>
  <DocSecurity>0</DocSecurity>
  <Lines>60</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Saczyna</dc:creator>
  <cp:lastModifiedBy>EuroRegion</cp:lastModifiedBy>
  <cp:revision>6</cp:revision>
  <cp:lastPrinted>2024-12-10T11:28:00Z</cp:lastPrinted>
  <dcterms:created xsi:type="dcterms:W3CDTF">2025-01-24T10:03:00Z</dcterms:created>
  <dcterms:modified xsi:type="dcterms:W3CDTF">2025-11-20T08:07:00Z</dcterms:modified>
</cp:coreProperties>
</file>